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keepLines w:val="0"/>
        <w:keepNext w:val="0"/>
        <w:pageBreakBefore w:val="0"/>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right"/>
        <w:keepLines w:val="0"/>
        <w:keepNext w:val="0"/>
        <w:pageBreakBefore w:val="0"/>
        <w:spacing w:line="360" w:lineRule="auto"/>
        <w:widowControl w:val="off"/>
        <w:rPr>
          <w:rFonts w:hint="eastAsia" w:ascii="宋体" w:hAnsi="宋体" w:cs="宋体"/>
          <w:b/>
          <w:bCs/>
          <w:color w:val="auto"/>
          <w:sz w:val="32"/>
          <w:szCs w:val="21"/>
          <w:highlight w:val="none"/>
        </w:rPr>
      </w:pPr>
      <w:r>
        <w:rPr>
          <w:rFonts w:hint="eastAsia" w:ascii="宋体" w:hAnsi="宋体" w:cs="宋体"/>
          <w:b/>
          <w:bCs/>
          <w:color w:val="auto"/>
          <w:sz w:val="32"/>
          <w:szCs w:val="21"/>
          <w:highlight w:val="none"/>
          <w:lang w:eastAsia="zh-CN"/>
        </w:rPr>
        <w:t xml:space="preserve">JSZC-321012-JSWC-G2025-0080</w:t>
      </w:r>
      <w:r>
        <w:rPr>
          <w:rFonts w:hint="eastAsia" w:ascii="宋体" w:hAnsi="宋体" w:cs="宋体"/>
          <w:b/>
          <w:bCs/>
          <w:color w:val="auto"/>
          <w:sz w:val="32"/>
          <w:szCs w:val="21"/>
          <w:highlight w:val="none"/>
        </w:rPr>
        <w:t xml:space="preserve">号</w:t>
      </w:r>
      <w:r/>
    </w:p>
    <w:p>
      <w:pPr>
        <w:jc w:val="right"/>
        <w:keepLines w:val="0"/>
        <w:keepNext w:val="0"/>
        <w:pageBreakBefore w:val="0"/>
        <w:spacing w:line="360" w:lineRule="auto"/>
        <w:widowControl w:val="off"/>
        <w:rPr>
          <w:rFonts w:hint="eastAsia" w:ascii="宋体" w:hAnsi="宋体" w:cs="宋体"/>
          <w:color w:val="auto"/>
          <w:sz w:val="36"/>
          <w:highlight w:val="none"/>
        </w:rPr>
      </w:pPr>
      <w:r>
        <w:rPr>
          <w:rFonts w:hint="eastAsia" w:ascii="宋体" w:hAnsi="宋体" w:cs="宋体"/>
          <w:color w:val="auto"/>
          <w:sz w:val="36"/>
          <w:highlight w:val="none"/>
        </w:rPr>
      </w:r>
      <w:r/>
    </w:p>
    <w:p>
      <w:pPr>
        <w:jc w:val="center"/>
        <w:keepLines w:val="0"/>
        <w:keepNext w:val="0"/>
        <w:pageBreakBefore w:val="0"/>
        <w:spacing w:line="360" w:lineRule="auto"/>
        <w:widowControl w:val="off"/>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南水北调高水河以西排水管网改造工程监理项目</w:t>
      </w:r>
      <w:r/>
    </w:p>
    <w:p>
      <w:pPr>
        <w:jc w:val="center"/>
        <w:keepLines w:val="0"/>
        <w:keepNext w:val="0"/>
        <w:pageBreakBefore w:val="0"/>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jc w:val="center"/>
        <w:tabs>
          <w:tab w:val="left" w:pos="4620" w:leader="none"/>
        </w:tabs>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left"/>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591810" cy="3686810"/>
                <wp:effectExtent l="0" t="0" r="14604" b="1651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5591810" cy="3686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0.3pt;height:290.3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ind w:firstLine="1134"/>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eastAsia="zh-CN"/>
        </w:rPr>
        <w:t xml:space="preserve">扬州市江都区住房和城乡建设局</w:t>
      </w:r>
      <w:r/>
    </w:p>
    <w:p>
      <w:pPr>
        <w:ind w:firstLine="1134"/>
        <w:keepLines w:val="0"/>
        <w:keepNext w:val="0"/>
        <w:pageBreakBefore w:val="0"/>
        <w:spacing w:line="360" w:lineRule="auto"/>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采购代理机构(章)：江苏唯诚建设咨询有限公司</w:t>
      </w:r>
      <w:r/>
    </w:p>
    <w:p>
      <w:pPr>
        <w:ind w:firstLine="1134"/>
        <w:keepLines w:val="0"/>
        <w:keepNext w:val="0"/>
        <w:pageBreakBefore w:val="0"/>
        <w:spacing w:line="360" w:lineRule="auto"/>
        <w:widowControl w:val="off"/>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发 放 日 期： 202</w:t>
      </w:r>
      <w:r>
        <w:rPr>
          <w:rFonts w:hint="eastAsia" w:ascii="宋体" w:hAnsi="宋体" w:cs="宋体"/>
          <w:b/>
          <w:bCs/>
          <w:color w:val="auto"/>
          <w:sz w:val="32"/>
          <w:szCs w:val="32"/>
          <w:highlight w:val="none"/>
          <w:lang w:val="en-US" w:eastAsia="zh-CN"/>
        </w:rPr>
        <w:t xml:space="preserve">5</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11</w:t>
      </w:r>
      <w:r>
        <w:rPr>
          <w:rFonts w:hint="eastAsia" w:ascii="宋体" w:hAnsi="宋体" w:cs="宋体"/>
          <w:b/>
          <w:bCs/>
          <w:color w:val="auto"/>
          <w:sz w:val="32"/>
          <w:szCs w:val="32"/>
          <w:highlight w:val="none"/>
        </w:rPr>
        <w:t xml:space="preserve">月</w:t>
      </w:r>
      <w:r>
        <w:rPr>
          <w:rFonts w:hint="eastAsia" w:ascii="宋体" w:hAnsi="宋体" w:cs="宋体"/>
          <w:b/>
          <w:bCs/>
          <w:color w:val="auto"/>
          <w:sz w:val="32"/>
          <w:szCs w:val="32"/>
          <w:highlight w:val="none"/>
          <w:lang w:val="en-US" w:eastAsia="zh-CN"/>
        </w:rPr>
        <w:t xml:space="preserve">28</w:t>
      </w:r>
      <w:r>
        <w:rPr>
          <w:rFonts w:hint="eastAsia" w:ascii="宋体" w:hAnsi="宋体" w:cs="宋体"/>
          <w:b/>
          <w:bCs/>
          <w:color w:val="auto"/>
          <w:sz w:val="32"/>
          <w:szCs w:val="32"/>
          <w:highlight w:val="none"/>
        </w:rPr>
        <w:t xml:space="preserve">日</w: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highlight w:val="none"/>
        </w:rPr>
        <w:t xml:space="preserve">目 录</w:t>
      </w:r>
      <w:r/>
    </w:p>
    <w:p>
      <w:pPr>
        <w:pStyle w:val="828"/>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828"/>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rPr>
        <w:t xml:space="preserve">6</w:t>
      </w:r>
      <w:r/>
    </w:p>
    <w:p>
      <w:pPr>
        <w:pStyle w:val="828"/>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18</w:t>
      </w:r>
      <w:r/>
    </w:p>
    <w:p>
      <w:pPr>
        <w:pStyle w:val="828"/>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24</w:t>
      </w:r>
      <w:r/>
    </w:p>
    <w:p>
      <w:pPr>
        <w:pStyle w:val="828"/>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rPr>
        <w:t xml:space="preserve">28</w:t>
      </w:r>
      <w:r/>
    </w:p>
    <w:p>
      <w:pPr>
        <w:pStyle w:val="828"/>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32</w:t>
      </w:r>
      <w:r/>
    </w:p>
    <w:p>
      <w:pPr>
        <w:jc w:val="center"/>
        <w:spacing w:line="360" w:lineRule="auto"/>
        <w:rPr>
          <w:rFonts w:hint="eastAsia" w:ascii="宋体" w:hAnsi="宋体" w:cs="宋体"/>
          <w:color w:val="auto"/>
          <w:sz w:val="28"/>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797"/>
        <w:jc w:val="center"/>
        <w:spacing w:line="360" w:lineRule="auto"/>
        <w:rPr>
          <w:rFonts w:hint="eastAsia" w:ascii="宋体" w:hAnsi="宋体" w:cs="宋体"/>
          <w:color w:val="auto"/>
          <w:sz w:val="36"/>
          <w:highlight w:val="none"/>
        </w:rPr>
      </w:pPr>
      <w:r/>
      <w:bookmarkStart w:id="0" w:name="OLE_LINK1"/>
      <w:r/>
      <w:bookmarkStart w:id="1" w:name="_Toc497133090"/>
      <w:r>
        <w:rPr>
          <w:rFonts w:hint="eastAsia" w:ascii="宋体" w:hAnsi="宋体" w:cs="宋体"/>
          <w:color w:val="auto"/>
          <w:sz w:val="36"/>
          <w:highlight w:val="none"/>
        </w:rPr>
        <w:t xml:space="preserve">第一章 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bookmarkStart w:id="2" w:name="_Toc497133091"/>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扬州市江都区住房和城乡建设局</w:t>
      </w:r>
      <w:r>
        <w:rPr>
          <w:rFonts w:hint="eastAsia" w:ascii="宋体" w:hAnsi="宋体" w:cs="宋体"/>
          <w:color w:val="auto"/>
          <w:highlight w:val="none"/>
        </w:rPr>
        <w:t xml:space="preserve">的委托，江苏唯诚建设咨询有限公司就</w:t>
      </w:r>
      <w:r>
        <w:rPr>
          <w:rFonts w:hint="eastAsia" w:ascii="宋体" w:hAnsi="宋体" w:cs="宋体"/>
          <w:color w:val="auto"/>
          <w:highlight w:val="none"/>
          <w:lang w:eastAsia="zh-CN"/>
        </w:rPr>
        <w:t xml:space="preserve">南水北调高水河以西排水管网改造工程监理项目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南水北调高水河以西排水管网改造工程监理项目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招标项目的潜在投标人可在</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江都区政府采购网”、</w:t>
      </w:r>
      <w:r>
        <w:rPr>
          <w:rFonts w:hint="eastAsia" w:ascii="宋体" w:hAnsi="宋体" w:cs="宋体"/>
          <w:color w:val="auto"/>
          <w:highlight w:val="none"/>
          <w:u w:val="single"/>
        </w:rPr>
        <w:t xml:space="preserve">“扬州市政府采购网”、</w:t>
      </w:r>
      <w:r>
        <w:rPr>
          <w:rFonts w:hint="eastAsia" w:ascii="宋体" w:hAnsi="宋体" w:cs="宋体"/>
          <w:color w:val="auto"/>
          <w:highlight w:val="none"/>
          <w:u w:val="single"/>
          <w:lang w:eastAsia="zh-CN"/>
        </w:rPr>
        <w:t xml:space="preserve">“江苏省政府采购网”、“中国政府采购网”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12</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19</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0分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3" w:name="_Toc38985263"/>
      <w:r>
        <w:rPr>
          <w:rFonts w:hint="eastAsia" w:ascii="宋体" w:hAnsi="宋体" w:cs="宋体"/>
          <w:b/>
          <w:bCs/>
          <w:color w:val="auto"/>
          <w:highlight w:val="none"/>
        </w:rPr>
        <w:t xml:space="preserve">一、项目基本情况</w:t>
      </w:r>
      <w:bookmarkEnd w:id="3"/>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JSZC-321012-JSWC-G2025-0080</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南水北调高水河以西排水管网改造工程监理项目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58</w:t>
      </w:r>
      <w:r>
        <w:rPr>
          <w:rFonts w:hint="eastAsia" w:ascii="宋体" w:hAnsi="宋体" w:cs="宋体"/>
          <w:color w:val="auto"/>
          <w:highlight w:val="none"/>
        </w:rPr>
        <w:t xml:space="preserve">万元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4.最高限价：</w:t>
      </w:r>
      <w:r>
        <w:rPr>
          <w:rFonts w:hint="eastAsia" w:ascii="宋体" w:hAnsi="宋体" w:cs="宋体"/>
          <w:color w:val="auto"/>
          <w:highlight w:val="none"/>
          <w:lang w:val="en-US" w:eastAsia="zh-CN"/>
        </w:rPr>
        <w:t xml:space="preserve">58</w:t>
      </w:r>
      <w:r>
        <w:rPr>
          <w:rFonts w:hint="eastAsia" w:ascii="宋体" w:hAnsi="宋体" w:cs="宋体"/>
          <w:color w:val="auto"/>
          <w:highlight w:val="none"/>
        </w:rPr>
        <w:t xml:space="preserve">万元，投标报价高于最高限价的作废标处理。</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5.采购需求：</w:t>
      </w:r>
      <w:r>
        <w:rPr>
          <w:rFonts w:hint="eastAsia" w:ascii="宋体" w:hAnsi="宋体" w:eastAsia="宋体" w:cs="宋体"/>
          <w:color w:val="auto"/>
          <w:szCs w:val="21"/>
          <w:highlight w:val="none"/>
        </w:rPr>
        <w:t xml:space="preserve">见采购文件第四章</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6.</w:t>
      </w:r>
      <w:r>
        <w:rPr>
          <w:rFonts w:hint="eastAsia" w:ascii="宋体" w:hAnsi="宋体" w:cs="宋体"/>
          <w:color w:val="auto"/>
          <w:highlight w:val="none"/>
          <w:lang w:eastAsia="zh-CN"/>
        </w:rPr>
        <w:t xml:space="preserve">服务</w:t>
      </w:r>
      <w:r>
        <w:rPr>
          <w:rFonts w:hint="eastAsia" w:ascii="宋体" w:hAnsi="宋体" w:cs="宋体"/>
          <w:color w:val="auto"/>
          <w:highlight w:val="none"/>
        </w:rPr>
        <w:t xml:space="preserve">期：</w:t>
      </w:r>
      <w:r>
        <w:rPr>
          <w:rFonts w:hint="eastAsia" w:ascii="宋体" w:hAnsi="宋体" w:eastAsia="宋体" w:cs="宋体"/>
          <w:color w:val="auto"/>
          <w:szCs w:val="21"/>
          <w:highlight w:val="none"/>
        </w:rPr>
        <w:t xml:space="preserve">见采购文件第四章</w:t>
      </w:r>
      <w:r/>
    </w:p>
    <w:p>
      <w:pPr>
        <w:ind w:firstLine="420"/>
        <w:spacing w:line="360" w:lineRule="auto"/>
        <w:rPr>
          <w:rFonts w:ascii="宋体" w:hAnsi="宋体" w:cs="宋体"/>
          <w:color w:val="auto"/>
          <w:highlight w:val="none"/>
        </w:rPr>
      </w:pPr>
      <w:r/>
      <w:bookmarkStart w:id="4" w:name="_Toc38985264"/>
      <w:r>
        <w:rPr>
          <w:rFonts w:hint="eastAsia" w:ascii="宋体" w:hAnsi="宋体" w:cs="宋体"/>
          <w:color w:val="auto"/>
          <w:highlight w:val="none"/>
        </w:rPr>
        <w:t xml:space="preserve">7.本项目</w:t>
      </w:r>
      <w:r>
        <w:rPr>
          <w:rFonts w:hint="eastAsia" w:ascii="宋体" w:hAnsi="宋体" w:cs="宋体"/>
          <w:color w:val="auto"/>
          <w:highlight w:val="none"/>
          <w:u w:val="single"/>
          <w:lang w:val="en-US" w:eastAsia="zh-CN"/>
        </w:rPr>
        <w:t xml:space="preserve">不</w:t>
      </w:r>
      <w:r>
        <w:rPr>
          <w:rFonts w:hint="eastAsia" w:ascii="宋体" w:hAnsi="宋体" w:cs="宋体"/>
          <w:color w:val="auto"/>
          <w:highlight w:val="none"/>
          <w:u w:val="single"/>
        </w:rPr>
        <w:t xml:space="preserve">接受</w:t>
      </w:r>
      <w:r>
        <w:rPr>
          <w:rFonts w:hint="eastAsia" w:ascii="宋体" w:hAnsi="宋体" w:cs="宋体"/>
          <w:color w:val="auto"/>
          <w:highlight w:val="none"/>
        </w:rPr>
        <w:t xml:space="preserve">联合体投标。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投标人近三个月内任意一份依法纳税的缴款凭证</w:t>
      </w:r>
      <w:r>
        <w:rPr>
          <w:rFonts w:hint="eastAsia" w:ascii="宋体" w:hAnsi="宋体" w:cs="宋体"/>
          <w:b/>
          <w:bCs/>
          <w:i/>
          <w:iCs/>
          <w:color w:val="auto"/>
          <w:szCs w:val="21"/>
          <w:highlight w:val="none"/>
          <w:u w:val="single"/>
        </w:rPr>
        <w:t xml:space="preserve">（投标人依法享受缓缴、免缴的提供证明材料）</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eastAsia="宋体" w:cs="宋体"/>
          <w:bCs/>
          <w:i/>
          <w:color w:val="auto"/>
          <w:highlight w:val="none"/>
          <w:u w:val="single"/>
          <w:lang w:eastAsia="zh-CN"/>
        </w:rPr>
      </w:pPr>
      <w:r>
        <w:rPr>
          <w:rFonts w:hint="eastAsia" w:ascii="宋体" w:hAnsi="宋体" w:eastAsia="宋体" w:cs="宋体"/>
          <w:color w:val="auto"/>
          <w:szCs w:val="21"/>
          <w:highlight w:val="none"/>
        </w:rPr>
        <w:t xml:space="preserve">2.落实政府采购政策需满足的资格要求：</w:t>
      </w:r>
      <w:r>
        <w:rPr>
          <w:rFonts w:hint="eastAsia" w:ascii="宋体" w:hAnsi="宋体" w:cs="宋体"/>
          <w:bCs/>
          <w:i/>
          <w:color w:val="auto"/>
          <w:highlight w:val="none"/>
          <w:u w:val="single"/>
          <w:lang w:eastAsia="zh-CN"/>
        </w:rPr>
        <w:t xml:space="preserve">根据《政府采购促进中小企业发展管理办法》规定，本项目专门面向中小企业采购，投标人应在投标文件中按要求提供《中小企业声明函》。</w:t>
      </w:r>
      <w:r/>
    </w:p>
    <w:p>
      <w:pPr>
        <w:ind w:firstLine="420"/>
        <w:spacing w:line="360" w:lineRule="auto"/>
        <w:rPr>
          <w:rFonts w:hint="eastAsia" w:ascii="宋体" w:hAnsi="宋体" w:cs="宋体"/>
          <w:color w:val="auto"/>
          <w:szCs w:val="21"/>
          <w:highlight w:val="none"/>
          <w:lang w:val="en"/>
        </w:rPr>
      </w:pPr>
      <w:r>
        <w:rPr>
          <w:rFonts w:hint="eastAsia" w:ascii="宋体" w:hAnsi="宋体" w:cs="宋体"/>
          <w:color w:val="auto"/>
          <w:szCs w:val="21"/>
          <w:highlight w:val="none"/>
          <w:lang w:val="en"/>
        </w:rPr>
        <w:t xml:space="preserve">本项目采购标的按中小企业划分标准所属行业区分为：</w:t>
      </w:r>
      <w:r>
        <w:rPr>
          <w:rFonts w:hint="eastAsia" w:ascii="宋体" w:hAnsi="宋体" w:cs="宋体"/>
          <w:color w:val="auto"/>
          <w:szCs w:val="21"/>
          <w:highlight w:val="none"/>
          <w:lang w:eastAsia="zh-CN"/>
        </w:rPr>
        <w:t xml:space="preserve">其他未列明行业</w:t>
      </w:r>
      <w:r>
        <w:rPr>
          <w:rFonts w:hint="eastAsia" w:ascii="宋体" w:hAnsi="宋体" w:cs="宋体"/>
          <w:color w:val="auto"/>
          <w:szCs w:val="21"/>
          <w:highlight w:val="none"/>
          <w:lang w:val="en"/>
        </w:rPr>
        <w:t xml:space="preserve">（中小微企业划型标准网</w:t>
      </w:r>
      <w:r>
        <w:rPr>
          <w:rFonts w:hint="eastAsia" w:ascii="宋体" w:hAnsi="宋体" w:cs="宋体"/>
          <w:color w:val="auto"/>
          <w:szCs w:val="21"/>
          <w:highlight w:val="none"/>
          <w:lang w:val="en"/>
        </w:rPr>
        <w:fldChar w:fldCharType="begin"/>
      </w:r>
      <w:r>
        <w:rPr>
          <w:rFonts w:hint="eastAsia" w:ascii="宋体" w:hAnsi="宋体" w:cs="宋体"/>
          <w:color w:val="auto"/>
          <w:szCs w:val="21"/>
          <w:highlight w:val="none"/>
          <w:lang w:val="en"/>
        </w:rPr>
        <w:instrText xml:space="preserve"> HYPERLINK "http://www.ccgp.gov.cn/zcfg/mof/201310/t20131029_3587674.htm" </w:instrText>
      </w:r>
      <w:r>
        <w:rPr>
          <w:rFonts w:hint="eastAsia" w:ascii="宋体" w:hAnsi="宋体" w:cs="宋体"/>
          <w:color w:val="auto"/>
          <w:szCs w:val="21"/>
          <w:highlight w:val="none"/>
          <w:lang w:val="en"/>
        </w:rPr>
        <w:fldChar w:fldCharType="separate"/>
      </w:r>
      <w:r>
        <w:rPr>
          <w:rFonts w:hint="eastAsia" w:ascii="宋体" w:hAnsi="宋体" w:cs="宋体"/>
          <w:color w:val="auto"/>
          <w:highlight w:val="none"/>
          <w:lang w:val="en"/>
        </w:rPr>
        <w:t xml:space="preserve">http://www.ccgp.gov.cn/zcfg/mof/201310/t20131029_3587674.htm</w:t>
      </w:r>
      <w:r>
        <w:rPr>
          <w:rFonts w:hint="eastAsia" w:ascii="宋体" w:hAnsi="宋体" w:cs="宋体"/>
          <w:color w:val="auto"/>
          <w:highlight w:val="none"/>
          <w:lang w:val="en"/>
        </w:rPr>
        <w:fldChar w:fldCharType="end"/>
      </w:r>
      <w:r>
        <w:rPr>
          <w:rFonts w:hint="eastAsia" w:ascii="宋体" w:hAnsi="宋体" w:cs="宋体"/>
          <w:color w:val="auto"/>
          <w:szCs w:val="21"/>
          <w:highlight w:val="none"/>
          <w:lang w:val="en"/>
        </w:rPr>
        <w:t xml:space="preserve">）。</w:t>
      </w:r>
      <w:r/>
    </w:p>
    <w:p>
      <w:pPr>
        <w:numPr>
          <w:ilvl w:val="0"/>
          <w:numId w:val="7"/>
        </w:num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p>
      <w:pPr>
        <w:numPr>
          <w:ilvl w:val="0"/>
          <w:numId w:val="0"/>
        </w:num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3.1</w:t>
      </w:r>
      <w:r>
        <w:rPr>
          <w:rFonts w:hint="eastAsia" w:ascii="宋体" w:hAnsi="宋体" w:cs="宋体"/>
          <w:i/>
          <w:iCs/>
          <w:color w:val="auto"/>
          <w:szCs w:val="21"/>
          <w:highlight w:val="none"/>
          <w:u w:val="single"/>
        </w:rPr>
        <w:t xml:space="preserve">供应商须具备国家建设行政主管部门颁发的工程监理综合甲级资质或市政公用工程监理乙级及以上资质。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3.2</w:t>
      </w:r>
      <w:r>
        <w:rPr>
          <w:rFonts w:hint="eastAsia" w:ascii="宋体" w:hAnsi="宋体" w:cs="宋体"/>
          <w:color w:val="auto"/>
          <w:szCs w:val="21"/>
          <w:highlight w:val="none"/>
        </w:rPr>
        <w:t xml:space="preserve">供应商拟派总监理工程师的要求：</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（1）具备国家注册监理工程师（市政公用工程专业）资格；（提供证书原件扫描上传）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（2）项目总监无在手工程；（提供江苏省建筑市场监管与诚信信息一体化平台网页截图）</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3）项目总监必须经投标供应商任命。项目总监不得同时在两个或者两个以上单位受聘或者执业：①同时在两个及以上单位签订劳动合同或交纳社会保险；②将本人执（职）业资格证书同时注册在两个及以上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3.3</w:t>
      </w:r>
      <w:r>
        <w:rPr>
          <w:rFonts w:hint="eastAsia" w:ascii="宋体" w:hAnsi="宋体" w:cs="宋体"/>
          <w:color w:val="auto"/>
          <w:szCs w:val="21"/>
          <w:highlight w:val="none"/>
        </w:rPr>
        <w:t xml:space="preserve">供应商拟派专业监理工程师的要求：</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主专业监理工程师1人【专业要求：公路与城市道路工程或桥梁工程或交通工程或交通土建或土木工程（道路与桥梁方向）或公路施工与养护或道路交通管理工程或给水排水工程等相关或相近专业】；（提供证书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val="0"/>
          <w:iCs w:val="0"/>
          <w:color w:val="auto"/>
          <w:szCs w:val="21"/>
          <w:highlight w:val="none"/>
          <w:u w:val="none"/>
          <w:lang w:val="en-US" w:eastAsia="zh-CN"/>
        </w:rPr>
        <w:t xml:space="preserve">3.4</w:t>
      </w:r>
      <w:r>
        <w:rPr>
          <w:rFonts w:hint="eastAsia" w:ascii="宋体" w:hAnsi="宋体" w:cs="宋体"/>
          <w:i/>
          <w:iCs/>
          <w:color w:val="auto"/>
          <w:szCs w:val="21"/>
          <w:highlight w:val="none"/>
          <w:u w:val="single"/>
        </w:rPr>
        <w:t xml:space="preserve">供应商拟派监理员的要求：</w:t>
      </w:r>
      <w:r>
        <w:rPr>
          <w:rFonts w:hint="eastAsia" w:ascii="宋体" w:hAnsi="宋体" w:cs="宋体"/>
          <w:i/>
          <w:iCs/>
          <w:color w:val="auto"/>
          <w:szCs w:val="21"/>
          <w:highlight w:val="none"/>
          <w:u w:val="single"/>
          <w:lang w:val="en-US" w:eastAsia="zh-CN"/>
        </w:rPr>
        <w:t xml:space="preserve">2</w:t>
      </w:r>
      <w:r>
        <w:rPr>
          <w:rFonts w:hint="eastAsia" w:ascii="宋体" w:hAnsi="宋体" w:cs="宋体"/>
          <w:i/>
          <w:iCs/>
          <w:color w:val="auto"/>
          <w:szCs w:val="21"/>
          <w:highlight w:val="none"/>
          <w:u w:val="single"/>
        </w:rPr>
        <w:t xml:space="preserve">人。（提供证书原件扫描上传）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color w:val="auto"/>
          <w:szCs w:val="21"/>
          <w:highlight w:val="none"/>
          <w:lang w:val="en-US" w:eastAsia="zh-CN"/>
        </w:rPr>
        <w:t xml:space="preserve">3.5</w:t>
      </w:r>
      <w:r>
        <w:rPr>
          <w:rFonts w:hint="eastAsia" w:ascii="宋体" w:hAnsi="宋体" w:cs="宋体"/>
          <w:i/>
          <w:iCs/>
          <w:color w:val="auto"/>
          <w:szCs w:val="21"/>
          <w:highlight w:val="none"/>
          <w:u w:val="single"/>
        </w:rPr>
        <w:t xml:space="preserve">供应商为授权委托人、拟派总监理工程师缴纳近</w:t>
      </w:r>
      <w:r>
        <w:rPr>
          <w:rFonts w:hint="eastAsia" w:ascii="宋体" w:hAnsi="宋体" w:cs="宋体"/>
          <w:i/>
          <w:iCs/>
          <w:color w:val="auto"/>
          <w:szCs w:val="21"/>
          <w:highlight w:val="none"/>
          <w:u w:val="single"/>
          <w:lang w:val="en-US" w:eastAsia="zh-CN"/>
        </w:rPr>
        <w:t xml:space="preserve">三</w:t>
      </w:r>
      <w:r>
        <w:rPr>
          <w:rFonts w:hint="eastAsia" w:ascii="宋体" w:hAnsi="宋体" w:cs="宋体"/>
          <w:i/>
          <w:iCs/>
          <w:color w:val="auto"/>
          <w:szCs w:val="21"/>
          <w:highlight w:val="none"/>
          <w:u w:val="single"/>
        </w:rPr>
        <w:t xml:space="preserve">个月内任意一个月在职职工社保证明材料（已取消书面证明采用网上自助查询方式的，如当地社保管理部门明确的最大查询期与招标文件规定的月份不一致时，须提供社保管理部门的文件规定，军队或高校设计院可提供上级主管部门出具的人事证明材料。退休返聘人员需提供退休证、返聘合同等证明材料原件扫描上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spacing w:line="360" w:lineRule="auto"/>
        <w:rPr>
          <w:rFonts w:ascii="宋体" w:hAnsi="宋体" w:cs="宋体"/>
          <w:color w:val="auto"/>
          <w:highlight w:val="none"/>
        </w:rPr>
      </w:pPr>
      <w:r/>
      <w:bookmarkStart w:id="5"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b/>
          <w:bCs/>
          <w:color w:val="auto"/>
          <w:szCs w:val="21"/>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ascii="宋体" w:hAnsi="宋体" w:cs="宋体"/>
          <w:b/>
          <w:bCs/>
          <w:strike w:val="0"/>
          <w:color w:val="auto"/>
          <w:highlight w:val="none"/>
        </w:rPr>
      </w:pPr>
      <w:r>
        <w:rPr>
          <w:rFonts w:hint="eastAsia" w:ascii="宋体" w:hAnsi="宋体" w:cs="宋体"/>
          <w:b/>
          <w:bCs/>
          <w:strike w:val="0"/>
          <w:color w:val="auto"/>
          <w:highlight w:val="none"/>
        </w:rPr>
        <w:t xml:space="preserve">3.潜在投标人访问</w:t>
      </w:r>
      <w:r>
        <w:rPr>
          <w:rFonts w:hint="eastAsia" w:ascii="宋体" w:hAnsi="宋体"/>
          <w:b/>
          <w:bCs/>
          <w:strike w:val="0"/>
          <w:color w:val="auto"/>
          <w:szCs w:val="21"/>
          <w:highlight w:val="none"/>
        </w:rPr>
        <w:t xml:space="preserve">政府采购管理交易系统（苏采云）</w:t>
      </w:r>
      <w:r>
        <w:rPr>
          <w:rFonts w:hint="eastAsia" w:ascii="宋体" w:hAnsi="宋体" w:cs="宋体"/>
          <w:b/>
          <w:bCs/>
          <w:strike w:val="0"/>
          <w:color w:val="auto"/>
          <w:highlight w:val="none"/>
        </w:rPr>
        <w:t xml:space="preserve">的网络地址和方法：</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（3）“CA数字证书”的办理材料以及供应商操作手册详见：</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http://zfcg.yangzhou.gov.cn/zfcg/xzzx/202309/4d7de1f7865f4a2894fc22bc452f94d8.shtml。</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（4）潜在供应商访问“苏采云”系统的网络地址和方法：“苏采云”系统的网址：http://jszfcg.jsczt.cn/。</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（7）苏采云系统使用谷歌浏览器参与不见面开标。</w:t>
      </w:r>
      <w:r/>
    </w:p>
    <w:p>
      <w:pPr>
        <w:spacing w:line="360" w:lineRule="auto"/>
        <w:tabs>
          <w:tab w:val="left" w:pos="266" w:leader="none"/>
        </w:tabs>
        <w:rPr>
          <w:rFonts w:ascii="宋体" w:hAnsi="宋体" w:cs="宋体"/>
          <w:b/>
          <w:bCs/>
          <w:strike w:val="0"/>
          <w:color w:val="auto"/>
          <w:highlight w:val="none"/>
        </w:rPr>
      </w:pPr>
      <w:r>
        <w:rPr>
          <w:rFonts w:hint="eastAsia" w:ascii="宋体" w:hAnsi="宋体" w:cs="宋体"/>
          <w:b/>
          <w:bCs/>
          <w:strike w:val="0"/>
          <w:color w:val="auto"/>
          <w:highlight w:val="none"/>
        </w:rPr>
        <w:t xml:space="preserve">四、提交投标文件截止时间、开标时间和地点</w:t>
      </w:r>
      <w:bookmarkEnd w:id="5"/>
      <w:r/>
      <w:r/>
    </w:p>
    <w:p>
      <w:pPr>
        <w:ind w:firstLine="420"/>
        <w:spacing w:line="360" w:lineRule="auto"/>
        <w:tabs>
          <w:tab w:val="left" w:pos="5083" w:leader="none"/>
        </w:tabs>
        <w:rPr>
          <w:rFonts w:ascii="宋体" w:hAnsi="宋体" w:cs="宋体"/>
          <w:bCs/>
          <w:strike w:val="0"/>
          <w:color w:val="auto"/>
          <w:szCs w:val="21"/>
          <w:highlight w:val="none"/>
          <w:u w:val="single"/>
        </w:rPr>
      </w:pPr>
      <w:r>
        <w:rPr>
          <w:rFonts w:hint="eastAsia" w:ascii="宋体" w:hAnsi="宋体" w:cs="宋体"/>
          <w:strike w:val="0"/>
          <w:color w:val="auto"/>
          <w:highlight w:val="none"/>
        </w:rPr>
        <w:t xml:space="preserve">1.时间：</w:t>
      </w:r>
      <w:r>
        <w:rPr>
          <w:rFonts w:hint="eastAsia" w:ascii="宋体" w:hAnsi="宋体" w:cs="宋体"/>
          <w:strike w:val="0"/>
          <w:color w:val="auto"/>
          <w:szCs w:val="21"/>
          <w:highlight w:val="none"/>
          <w:u w:val="single"/>
        </w:rPr>
        <w:t xml:space="preserve">202</w:t>
      </w:r>
      <w:r>
        <w:rPr>
          <w:rFonts w:hint="eastAsia" w:ascii="宋体" w:hAnsi="宋体" w:cs="宋体"/>
          <w:strike w:val="0"/>
          <w:color w:val="auto"/>
          <w:szCs w:val="21"/>
          <w:highlight w:val="none"/>
          <w:u w:val="single"/>
          <w:lang w:val="en-US" w:eastAsia="zh-CN"/>
        </w:rPr>
        <w:t xml:space="preserve">5</w:t>
      </w:r>
      <w:r>
        <w:rPr>
          <w:rFonts w:hint="eastAsia" w:ascii="宋体" w:hAnsi="宋体" w:cs="宋体"/>
          <w:bCs/>
          <w:strike w:val="0"/>
          <w:color w:val="auto"/>
          <w:szCs w:val="21"/>
          <w:highlight w:val="none"/>
          <w:u w:val="single"/>
        </w:rPr>
        <w:t xml:space="preserve">年</w:t>
      </w:r>
      <w:r>
        <w:rPr>
          <w:rFonts w:hint="eastAsia" w:ascii="宋体" w:hAnsi="宋体" w:cs="宋体"/>
          <w:bCs/>
          <w:strike w:val="0"/>
          <w:color w:val="auto"/>
          <w:szCs w:val="21"/>
          <w:highlight w:val="none"/>
          <w:u w:val="single"/>
          <w:lang w:val="en-US" w:eastAsia="zh-CN"/>
        </w:rPr>
        <w:t xml:space="preserve">12</w:t>
      </w:r>
      <w:r>
        <w:rPr>
          <w:rFonts w:hint="eastAsia" w:ascii="宋体" w:hAnsi="宋体" w:cs="宋体"/>
          <w:bCs/>
          <w:strike w:val="0"/>
          <w:color w:val="auto"/>
          <w:szCs w:val="21"/>
          <w:highlight w:val="none"/>
          <w:u w:val="single"/>
        </w:rPr>
        <w:t xml:space="preserve">月</w:t>
      </w:r>
      <w:r>
        <w:rPr>
          <w:rFonts w:hint="eastAsia" w:ascii="宋体" w:hAnsi="宋体" w:cs="宋体"/>
          <w:bCs/>
          <w:strike w:val="0"/>
          <w:color w:val="auto"/>
          <w:szCs w:val="21"/>
          <w:highlight w:val="none"/>
          <w:u w:val="single"/>
          <w:lang w:val="en-US" w:eastAsia="zh-CN"/>
        </w:rPr>
        <w:t xml:space="preserve">19</w:t>
      </w:r>
      <w:r>
        <w:rPr>
          <w:rFonts w:hint="eastAsia" w:ascii="宋体" w:hAnsi="宋体" w:cs="宋体"/>
          <w:bCs/>
          <w:strike w:val="0"/>
          <w:color w:val="auto"/>
          <w:szCs w:val="21"/>
          <w:highlight w:val="none"/>
          <w:u w:val="single"/>
        </w:rPr>
        <w:t xml:space="preserve">日</w:t>
      </w:r>
      <w:r>
        <w:rPr>
          <w:rFonts w:hint="eastAsia" w:ascii="宋体" w:hAnsi="宋体" w:cs="宋体"/>
          <w:bCs/>
          <w:strike w:val="0"/>
          <w:color w:val="auto"/>
          <w:szCs w:val="21"/>
          <w:highlight w:val="none"/>
          <w:u w:val="single"/>
          <w:lang w:val="en-US" w:eastAsia="zh-CN"/>
        </w:rPr>
        <w:t xml:space="preserve">9</w:t>
      </w:r>
      <w:r>
        <w:rPr>
          <w:rFonts w:hint="eastAsia" w:ascii="宋体" w:hAnsi="宋体" w:cs="宋体"/>
          <w:bCs/>
          <w:strike w:val="0"/>
          <w:color w:val="auto"/>
          <w:szCs w:val="21"/>
          <w:highlight w:val="none"/>
          <w:u w:val="single"/>
        </w:rPr>
        <w:t xml:space="preserve">点</w:t>
      </w:r>
      <w:r>
        <w:rPr>
          <w:rFonts w:hint="eastAsia" w:ascii="宋体" w:hAnsi="宋体" w:cs="宋体"/>
          <w:bCs/>
          <w:strike w:val="0"/>
          <w:color w:val="auto"/>
          <w:szCs w:val="21"/>
          <w:highlight w:val="none"/>
          <w:u w:val="single"/>
          <w:lang w:val="en-US" w:eastAsia="zh-CN"/>
        </w:rPr>
        <w:t xml:space="preserve">3</w:t>
      </w:r>
      <w:r>
        <w:rPr>
          <w:rFonts w:hint="eastAsia" w:ascii="宋体" w:hAnsi="宋体" w:cs="宋体"/>
          <w:bCs/>
          <w:strike w:val="0"/>
          <w:color w:val="auto"/>
          <w:szCs w:val="21"/>
          <w:highlight w:val="none"/>
          <w:u w:val="single"/>
        </w:rPr>
        <w:t xml:space="preserve">0分</w:t>
      </w:r>
      <w:r>
        <w:rPr>
          <w:rFonts w:hint="eastAsia" w:ascii="宋体" w:hAnsi="宋体" w:cs="宋体"/>
          <w:bCs/>
          <w:strike w:val="0"/>
          <w:color w:val="auto"/>
          <w:highlight w:val="none"/>
        </w:rPr>
        <w:t xml:space="preserve">（北京时间）</w:t>
      </w:r>
      <w:r>
        <w:rPr>
          <w:color w:val="auto"/>
          <w:highlight w:val="none"/>
        </w:rPr>
        <w:tab/>
      </w:r>
      <w:r/>
    </w:p>
    <w:p>
      <w:pPr>
        <w:ind w:firstLine="420"/>
        <w:spacing w:line="360" w:lineRule="auto"/>
        <w:rPr>
          <w:rFonts w:ascii="宋体" w:hAnsi="宋体" w:cs="宋体"/>
          <w:bCs/>
          <w:strike w:val="0"/>
          <w:color w:val="auto"/>
          <w:highlight w:val="none"/>
          <w:u w:val="single"/>
        </w:rPr>
      </w:pPr>
      <w:r>
        <w:rPr>
          <w:rFonts w:hint="eastAsia" w:ascii="宋体" w:hAnsi="宋体" w:cs="宋体"/>
          <w:strike w:val="0"/>
          <w:color w:val="auto"/>
          <w:highlight w:val="none"/>
        </w:rPr>
        <w:t xml:space="preserve">2.开标地点：</w:t>
      </w:r>
      <w:r>
        <w:rPr>
          <w:rFonts w:hint="eastAsia" w:ascii="宋体" w:hAnsi="宋体"/>
          <w:b/>
          <w:strike w:val="0"/>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strike w:val="0"/>
          <w:color w:val="auto"/>
          <w:highlight w:val="none"/>
        </w:rPr>
      </w:pPr>
      <w:r/>
      <w:bookmarkStart w:id="6" w:name="_Toc38985267"/>
      <w:r>
        <w:rPr>
          <w:rFonts w:hint="eastAsia" w:ascii="宋体" w:hAnsi="宋体" w:cs="宋体"/>
          <w:b/>
          <w:bCs/>
          <w:strike w:val="0"/>
          <w:color w:val="auto"/>
          <w:highlight w:val="none"/>
        </w:rPr>
        <w:t xml:space="preserve">五、公告期限</w:t>
      </w:r>
      <w:bookmarkEnd w:id="6"/>
      <w:r/>
      <w:r/>
    </w:p>
    <w:p>
      <w:pPr>
        <w:ind w:firstLine="420"/>
        <w:spacing w:line="360" w:lineRule="auto"/>
        <w:rPr>
          <w:rFonts w:ascii="宋体" w:hAnsi="宋体" w:cs="宋体"/>
          <w:color w:val="auto"/>
          <w:highlight w:val="none"/>
        </w:rPr>
      </w:pPr>
      <w:r/>
      <w:bookmarkStart w:id="7" w:name="_Toc38985268"/>
      <w:r>
        <w:rPr>
          <w:rFonts w:hint="eastAsia" w:ascii="宋体" w:hAnsi="宋体" w:cs="宋体"/>
          <w:color w:val="auto"/>
          <w:highlight w:val="none"/>
        </w:rPr>
        <w:t xml:space="preserve">招标公告及招标文件公告期限为自本公告发布之日起5个工作日。</w:t>
      </w:r>
      <w:bookmarkEnd w:id="7"/>
      <w:r/>
      <w:r/>
    </w:p>
    <w:p>
      <w:pPr>
        <w:spacing w:line="360" w:lineRule="auto"/>
        <w:tabs>
          <w:tab w:val="left" w:pos="266" w:leader="none"/>
        </w:tabs>
        <w:rPr>
          <w:rFonts w:hint="eastAsia" w:ascii="宋体" w:hAnsi="宋体" w:cs="宋体"/>
          <w:b/>
          <w:bCs/>
          <w:color w:val="auto"/>
          <w:highlight w:val="none"/>
        </w:rPr>
      </w:pPr>
      <w:r/>
      <w:bookmarkStart w:id="8" w:name="_Toc28359087"/>
      <w:r/>
      <w:bookmarkStart w:id="9" w:name="_Toc28359010"/>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8"/>
      <w:r/>
      <w:bookmarkEnd w:id="9"/>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七、其他</w:t>
      </w:r>
      <w:r/>
    </w:p>
    <w:p>
      <w:pPr>
        <w:ind w:firstLine="422"/>
        <w:spacing w:line="360" w:lineRule="auto"/>
        <w:rPr>
          <w:rFonts w:hint="eastAsia" w:ascii="宋体" w:hAnsi="宋体" w:cs="宋体"/>
          <w:b/>
          <w:bCs/>
          <w:color w:val="auto"/>
          <w:szCs w:val="21"/>
          <w:highlight w:val="none"/>
        </w:rPr>
      </w:pPr>
      <w:r/>
      <w:bookmarkStart w:id="10" w:name="_Toc38985269"/>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w:t>
      </w:r>
      <w:r>
        <w:rPr>
          <w:rFonts w:hint="eastAsia" w:ascii="宋体" w:hAnsi="宋体" w:cs="宋体"/>
          <w:b/>
          <w:bCs/>
          <w:color w:val="auto"/>
          <w:szCs w:val="21"/>
          <w:highlight w:val="none"/>
          <w:lang w:eastAsia="zh-CN"/>
        </w:rPr>
        <w:t xml:space="preserve">投标</w:t>
      </w:r>
      <w:r>
        <w:rPr>
          <w:rFonts w:hint="eastAsia" w:ascii="宋体" w:hAnsi="宋体" w:cs="宋体"/>
          <w:b/>
          <w:bCs/>
          <w:color w:val="auto"/>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spacing w:line="360" w:lineRule="auto"/>
        <w:rPr>
          <w:rFonts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江都区政府采购网”、</w:t>
      </w:r>
      <w:r>
        <w:rPr>
          <w:rFonts w:hint="eastAsia" w:ascii="宋体" w:hAnsi="宋体" w:cs="宋体"/>
          <w:bCs/>
          <w:color w:val="auto"/>
          <w:szCs w:val="21"/>
          <w:highlight w:val="none"/>
        </w:rPr>
        <w:t xml:space="preserve">“扬州市政府采购网”、</w:t>
      </w:r>
      <w:r>
        <w:rPr>
          <w:rFonts w:hint="eastAsia" w:ascii="宋体" w:hAnsi="宋体" w:cs="宋体"/>
          <w:bCs/>
          <w:color w:val="auto"/>
          <w:szCs w:val="21"/>
          <w:highlight w:val="none"/>
          <w:lang w:eastAsia="zh-CN"/>
        </w:rPr>
        <w:t xml:space="preserve">“江苏省政府采购网”、“中国政府采购网”</w:t>
      </w:r>
      <w:r>
        <w:rPr>
          <w:rFonts w:hint="eastAsia" w:ascii="宋体" w:hAnsi="宋体" w:cs="宋体"/>
          <w:bCs/>
          <w:color w:val="auto"/>
          <w:szCs w:val="21"/>
          <w:highlight w:val="none"/>
        </w:rPr>
        <w:t xml:space="preserve">发布的信息。</w:t>
      </w:r>
      <w:r/>
    </w:p>
    <w:p>
      <w:pPr>
        <w:ind w:left="420"/>
        <w:spacing w:line="360" w:lineRule="auto"/>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left="420"/>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八、本次招标联系方式</w:t>
      </w:r>
      <w:bookmarkEnd w:id="10"/>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1.采购人信息</w:t>
      </w:r>
      <w:r/>
    </w:p>
    <w:p>
      <w:pPr>
        <w:ind w:firstLine="420"/>
        <w:spacing w:line="360" w:lineRule="auto"/>
        <w:rPr>
          <w:rFonts w:hint="eastAsia" w:ascii="宋体" w:hAnsi="宋体" w:eastAsia="宋体" w:cs="宋体"/>
          <w:bCs/>
          <w:color w:val="auto"/>
          <w:szCs w:val="21"/>
          <w:highlight w:val="none"/>
          <w:lang w:eastAsia="zh-CN"/>
        </w:rPr>
      </w:pPr>
      <w:r/>
      <w:bookmarkStart w:id="11" w:name="_Toc28359086"/>
      <w:r/>
      <w:bookmarkStart w:id="12" w:name="_Toc28359009"/>
      <w:r>
        <w:rPr>
          <w:rFonts w:hint="eastAsia" w:ascii="宋体" w:hAnsi="宋体" w:eastAsia="宋体" w:cs="宋体"/>
          <w:bCs/>
          <w:color w:val="auto"/>
          <w:szCs w:val="21"/>
          <w:highlight w:val="none"/>
        </w:rPr>
        <w:t xml:space="preserve">名    称：</w:t>
      </w:r>
      <w:r>
        <w:rPr>
          <w:rFonts w:hint="eastAsia" w:ascii="宋体" w:hAnsi="宋体" w:cs="宋体"/>
          <w:bCs/>
          <w:color w:val="auto"/>
          <w:szCs w:val="21"/>
          <w:highlight w:val="none"/>
          <w:lang w:eastAsia="zh-CN"/>
        </w:rPr>
        <w:t xml:space="preserve">扬州市江都区住房和城乡建设局</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    址：扬州市江都区仙女镇龙川北路</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联系方式：</w:t>
      </w:r>
      <w:r>
        <w:rPr>
          <w:rFonts w:hint="eastAsia" w:ascii="宋体" w:hAnsi="宋体" w:eastAsia="宋体" w:cs="宋体"/>
          <w:color w:val="auto"/>
          <w:szCs w:val="21"/>
          <w:highlight w:val="none"/>
        </w:rPr>
        <w:t xml:space="preserve">0514-</w:t>
      </w:r>
      <w:r>
        <w:rPr>
          <w:rFonts w:hint="eastAsia" w:ascii="宋体" w:hAnsi="宋体" w:cs="宋体"/>
          <w:color w:val="auto"/>
          <w:szCs w:val="21"/>
          <w:highlight w:val="none"/>
          <w:lang w:val="en-US" w:eastAsia="zh-CN"/>
        </w:rPr>
        <w:t xml:space="preserve">86550850</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2.代理机构信息</w:t>
      </w:r>
      <w:bookmarkEnd w:id="11"/>
      <w:r/>
      <w:bookmarkEnd w:id="12"/>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名    称：江苏唯诚建设咨询有限公司</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　  址：扬州市维扬路106-1#</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联 系 人：林祖超</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联系方式：18652401357</w:t>
      </w:r>
      <w:r/>
    </w:p>
    <w:p>
      <w:pPr>
        <w:pStyle w:val="858"/>
        <w:rPr>
          <w:rFonts w:hint="eastAsia"/>
          <w:color w:val="auto"/>
          <w:highlight w:val="none"/>
        </w:rPr>
      </w:pPr>
      <w:r>
        <w:rPr>
          <w:rFonts w:hint="eastAsia"/>
          <w:color w:val="auto"/>
          <w:highlight w:val="none"/>
        </w:rPr>
      </w:r>
      <w:r/>
    </w:p>
    <w:p>
      <w:pPr>
        <w:pStyle w:val="797"/>
        <w:jc w:val="center"/>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2"/>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13" w:name="_Toc497133092"/>
      <w:r>
        <w:rPr>
          <w:rFonts w:hint="eastAsia" w:ascii="宋体" w:hAnsi="宋体" w:eastAsia="宋体" w:cs="宋体"/>
          <w:b/>
          <w:color w:val="auto"/>
          <w:szCs w:val="21"/>
          <w:highlight w:val="none"/>
        </w:rPr>
        <w:t xml:space="preserve">1、招标方式</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eastAsia="宋体" w:cs="宋体"/>
          <w:bCs/>
          <w:color w:val="auto"/>
          <w:szCs w:val="21"/>
          <w:highlight w:val="none"/>
          <w:lang w:eastAsia="zh-CN"/>
        </w:rPr>
        <w:t xml:space="preserve">JSZC-</w:t>
      </w:r>
      <w:r>
        <w:rPr>
          <w:rFonts w:hint="eastAsia" w:ascii="宋体" w:hAnsi="宋体" w:cs="宋体"/>
          <w:bCs/>
          <w:color w:val="auto"/>
          <w:szCs w:val="21"/>
          <w:highlight w:val="none"/>
          <w:lang w:eastAsia="zh-CN"/>
        </w:rPr>
        <w:t xml:space="preserve">321012</w:t>
      </w:r>
      <w:r>
        <w:rPr>
          <w:rFonts w:hint="eastAsia" w:ascii="宋体" w:hAnsi="宋体" w:eastAsia="宋体" w:cs="宋体"/>
          <w:bCs/>
          <w:color w:val="auto"/>
          <w:szCs w:val="21"/>
          <w:highlight w:val="none"/>
          <w:lang w:eastAsia="zh-CN"/>
        </w:rPr>
        <w:t xml:space="preserve">-JSWC-G2025-</w:t>
      </w:r>
      <w:r>
        <w:rPr>
          <w:rFonts w:hint="eastAsia" w:ascii="宋体" w:hAnsi="宋体" w:cs="宋体"/>
          <w:bCs/>
          <w:color w:val="auto"/>
          <w:szCs w:val="21"/>
          <w:highlight w:val="none"/>
          <w:lang w:eastAsia="zh-CN"/>
        </w:rPr>
        <w:t xml:space="preserve">0080</w:t>
      </w:r>
      <w:r>
        <w:rPr>
          <w:rFonts w:hint="eastAsia" w:ascii="宋体" w:hAnsi="宋体" w:eastAsia="宋体" w:cs="宋体"/>
          <w:bCs/>
          <w:color w:val="auto"/>
          <w:szCs w:val="21"/>
          <w:highlight w:val="none"/>
        </w:rPr>
        <w:t xml:space="preserve">号项目。</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4.1本次采购由依据2025年扬州市江都区住建局建设项目收费控制价并根据中标价按实计算，由采购人支付。</w:t>
      </w:r>
      <w:r>
        <w:rPr>
          <w:sz w:val="21"/>
        </w:rPr>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江都区政府采购网”、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公布，补充文件将作为招标文件的组成部分，并对投标人具有约束力。</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11.4投标人应提交根据合同要求提供的证明服务质量合格以及符合招标文件规定的证明文件。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11.5证明投标人所提供服务与招标文件的要求相一致的文件可以是手册、图纸、文字资料和数据。</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12、分项报价表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投标人应按照招标文件规定格式填报分项报价表，每项服务只允许有一个报价，任何有选择的报价将不予接受。</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12.3其它费用处理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12.4投标货币</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13、技术参数响应及偏离表、商务条款响应及偏离表及投标服务说明</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详细阐述所投服务的主要组成部分、功能设计、实现思路及关键技术；</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14" w:name="_Toc16938541"/>
      <w:r/>
      <w:bookmarkStart w:id="15" w:name="_Toc20823297"/>
      <w:r/>
      <w:bookmarkStart w:id="16" w:name="_Toc513029225"/>
      <w:r/>
      <w:bookmarkStart w:id="17" w:name="_Toc462564084"/>
      <w:r>
        <w:rPr>
          <w:rFonts w:hint="eastAsia" w:ascii="宋体" w:hAnsi="宋体" w:eastAsia="宋体" w:cs="宋体"/>
          <w:b/>
          <w:color w:val="auto"/>
          <w:szCs w:val="21"/>
          <w:highlight w:val="none"/>
        </w:rPr>
        <w:t xml:space="preserve">17、投标文件</w:t>
      </w:r>
      <w:bookmarkEnd w:id="14"/>
      <w:r/>
      <w:bookmarkEnd w:id="15"/>
      <w:r/>
      <w:bookmarkEnd w:id="16"/>
      <w:r/>
      <w:bookmarkEnd w:id="17"/>
      <w:r>
        <w:rPr>
          <w:rFonts w:hint="eastAsia" w:ascii="宋体" w:hAnsi="宋体" w:eastAsia="宋体" w:cs="宋体"/>
          <w:b/>
          <w:color w:val="auto"/>
          <w:szCs w:val="21"/>
          <w:highlight w:val="none"/>
        </w:rPr>
        <w:t xml:space="preserve">的递交</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18" w:name="_Toc20823298"/>
      <w:r/>
      <w:bookmarkStart w:id="19" w:name="_Toc16938542"/>
      <w:r/>
      <w:bookmarkStart w:id="20" w:name="_Toc513029226"/>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2"/>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18"/>
      <w:r/>
      <w:bookmarkEnd w:id="19"/>
      <w:r/>
      <w:bookmarkEnd w:id="20"/>
      <w:r/>
      <w:r/>
    </w:p>
    <w:p>
      <w:pPr>
        <w:ind w:left="0" w:firstLine="420"/>
        <w:jc w:val="both"/>
        <w:keepLines w:val="0"/>
        <w:keepNext w:val="0"/>
        <w:pageBreakBefore w:val="0"/>
        <w:spacing w:line="360" w:lineRule="auto"/>
        <w:widowControl w:val="off"/>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21" w:name="_Toc20823299"/>
      <w:r/>
      <w:bookmarkStart w:id="22" w:name="_Toc16938543"/>
      <w:r/>
      <w:bookmarkStart w:id="23" w:name="_Toc513029227"/>
      <w:r>
        <w:rPr>
          <w:rFonts w:hint="eastAsia" w:ascii="宋体" w:hAnsi="宋体" w:eastAsia="宋体" w:cs="宋体"/>
          <w:b/>
          <w:color w:val="auto"/>
          <w:szCs w:val="21"/>
          <w:highlight w:val="none"/>
        </w:rPr>
        <w:t xml:space="preserve">19、投标文件</w:t>
      </w:r>
      <w:bookmarkEnd w:id="21"/>
      <w:r/>
      <w:bookmarkEnd w:id="22"/>
      <w:r/>
      <w:bookmarkEnd w:id="23"/>
      <w:r>
        <w:rPr>
          <w:rFonts w:hint="eastAsia" w:ascii="宋体" w:hAnsi="宋体" w:eastAsia="宋体" w:cs="宋体"/>
          <w:b/>
          <w:color w:val="auto"/>
          <w:szCs w:val="21"/>
          <w:highlight w:val="none"/>
        </w:rPr>
        <w:t xml:space="preserve">的拒收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24" w:name="_Toc20823300"/>
      <w:r/>
      <w:bookmarkStart w:id="25" w:name="_Toc513029228"/>
      <w:r/>
      <w:bookmarkStart w:id="26" w:name="_Toc16938544"/>
      <w:r>
        <w:rPr>
          <w:rFonts w:hint="eastAsia" w:ascii="宋体" w:hAnsi="宋体" w:eastAsia="宋体" w:cs="宋体"/>
          <w:b/>
          <w:color w:val="auto"/>
          <w:szCs w:val="21"/>
          <w:highlight w:val="none"/>
        </w:rPr>
        <w:t xml:space="preserve">20、投标文件的撤回和修改</w:t>
      </w:r>
      <w:bookmarkEnd w:id="24"/>
      <w:r/>
      <w:bookmarkEnd w:id="25"/>
      <w:r/>
      <w:bookmarkEnd w:id="26"/>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异常低价投标（响应）</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1投标（响应）报价低于采购项目预算 50% 的，即投标（响应）报价&lt;采购项目预算×50% ；</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2投标（响应）报价低于采购项目最高限价 45% 的，即投标（响应）报价&lt;采购项目最高限价×45% ；</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3评审委员会认定的供应商报价过低、有可能影响产品质量或者不能诚信履约的其他情形。</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其他法律、法规及本招标文件规定的属无效投标的情形。</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江都区政府采购网”、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发布中标公告，公告期限为1个工作日。</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eastAsia="宋体" w:cs="宋体"/>
          <w:bCs/>
          <w:color w:val="auto"/>
          <w:szCs w:val="21"/>
          <w:highlight w:val="none"/>
          <w:lang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firstLine="422"/>
        <w:jc w:val="both"/>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31、其他</w:t>
      </w:r>
      <w:r/>
    </w:p>
    <w:p>
      <w:pPr>
        <w:ind w:left="0" w:firstLine="420"/>
        <w:jc w:val="both"/>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eastAsia="宋体" w:cs="宋体"/>
          <w:color w:val="auto"/>
          <w:highlight w:val="none"/>
        </w:rPr>
        <w:t xml:space="preserve">31.1 依据《政府采购促进中小企业发展管理办法》享受扶持政策获得政府采购合同的，小微企业不得将合同分包给大中型企业，中型企业不得将合同分包给大型企业。</w:t>
      </w:r>
      <w:r/>
    </w:p>
    <w:p>
      <w:pPr>
        <w:pStyle w:val="797"/>
        <w:jc w:val="center"/>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第三章 合同条款及格式</w:t>
      </w:r>
      <w:bookmarkEnd w:id="13"/>
      <w:r/>
      <w:r/>
    </w:p>
    <w:p>
      <w:pPr>
        <w:pStyle w:val="1196"/>
        <w:jc w:val="center"/>
        <w:rPr>
          <w:rFonts w:ascii="黑体" w:hAnsi="黑体" w:eastAsia="黑体" w:cs="黑体"/>
          <w:color w:val="auto"/>
          <w:spacing w:val="7"/>
          <w:sz w:val="31"/>
          <w:szCs w:val="31"/>
          <w:highlight w:val="none"/>
        </w:rPr>
      </w:pPr>
      <w:r>
        <w:rPr>
          <w:rFonts w:ascii="黑体" w:hAnsi="黑体" w:eastAsia="黑体" w:cs="黑体"/>
          <w:color w:val="auto"/>
          <w:spacing w:val="10"/>
          <w:sz w:val="31"/>
          <w:szCs w:val="31"/>
          <w:highlight w:val="none"/>
        </w:rPr>
        <w:t xml:space="preserve">第</w:t>
      </w:r>
      <w:r>
        <w:rPr>
          <w:rFonts w:ascii="黑体" w:hAnsi="黑体" w:eastAsia="黑体" w:cs="黑体"/>
          <w:color w:val="auto"/>
          <w:spacing w:val="7"/>
          <w:sz w:val="31"/>
          <w:szCs w:val="31"/>
          <w:highlight w:val="none"/>
        </w:rPr>
        <w:t xml:space="preserve">一部分  协议书</w:t>
      </w:r>
      <w:r/>
    </w:p>
    <w:p>
      <w:pPr>
        <w:pStyle w:val="1197"/>
      </w:pPr>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委托人(全称)：</w:t>
      </w:r>
      <w:r>
        <w:rPr>
          <w:rFonts w:hint="eastAsia" w:ascii="宋体" w:hAnsi="宋体" w:cs="宋体"/>
          <w:color w:val="auto"/>
          <w:highlight w:val="none"/>
          <w:u w:val="single"/>
          <w:lang w:val="en-US" w:eastAsia="zh-CN"/>
        </w:rPr>
        <w:t xml:space="preserve">扬</w:t>
      </w:r>
      <w:r>
        <w:rPr>
          <w:rFonts w:hint="eastAsia" w:ascii="宋体" w:hAnsi="宋体" w:cs="宋体"/>
          <w:color w:val="auto"/>
          <w:highlight w:val="none"/>
          <w:u w:val="single"/>
          <w:lang w:eastAsia="zh-CN"/>
        </w:rPr>
        <w:t xml:space="preserve">州市江都区住房和城乡建设局</w:t>
      </w:r>
      <w:r>
        <w:rPr>
          <w:rFonts w:hint="eastAsia" w:ascii="宋体" w:hAnsi="宋体" w:cs="宋体"/>
          <w:color w:val="auto"/>
          <w:highlight w:val="none"/>
        </w:rPr>
        <w:t xml:space="preserve">             </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监理人(全称)：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根据《中华人民共和国民法典》、《中华人民共和国建筑法》及其他有关法律、法规， 遵循平等、自愿、公平和诚信的原则，双方就下述工程委托监理与相关服务事项协商一致，订立本合同。</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一、工程概况</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 工程名称：</w:t>
      </w:r>
      <w:r>
        <w:rPr>
          <w:rFonts w:hint="eastAsia" w:ascii="宋体" w:hAnsi="宋体" w:cs="宋体"/>
          <w:color w:val="auto"/>
          <w:highlight w:val="none"/>
          <w:u w:val="single"/>
        </w:rPr>
        <w:t xml:space="preserve"> </w:t>
      </w:r>
      <w:r>
        <w:rPr>
          <w:rFonts w:hint="eastAsia" w:ascii="宋体" w:hAnsi="宋体" w:cs="宋体"/>
          <w:sz w:val="21"/>
          <w:szCs w:val="21"/>
          <w:highlight w:val="none"/>
          <w:u w:val="single"/>
          <w:lang w:eastAsia="zh-CN"/>
        </w:rPr>
        <w:t xml:space="preserve">南水北调高水河以西排水管网改造工程监理项目</w:t>
      </w:r>
      <w:r>
        <w:rPr>
          <w:rFonts w:ascii="宋体" w:hAnsi="宋体" w:cs="宋体"/>
          <w:color w:val="auto"/>
          <w:szCs w:val="21"/>
          <w:highlight w:val="none"/>
          <w:u w:val="single"/>
        </w:rPr>
        <w:t xml:space="preserve"> </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 工程地点：</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扬州市江都区</w:t>
      </w:r>
      <w:r>
        <w:rPr>
          <w:rFonts w:hint="eastAsia" w:ascii="宋体" w:hAnsi="宋体" w:cs="宋体"/>
          <w:color w:val="auto"/>
          <w:highlight w:val="none"/>
          <w:u w:val="single"/>
        </w:rPr>
        <w:t xml:space="preserve"> </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3. 工程规模：</w:t>
      </w:r>
      <w:r>
        <w:rPr>
          <w:rFonts w:hint="eastAsia" w:ascii="宋体" w:hAnsi="宋体" w:cs="宋体"/>
          <w:color w:val="auto"/>
          <w:highlight w:val="none"/>
          <w:u w:val="single"/>
          <w:lang w:val="en-US" w:eastAsia="zh-CN"/>
        </w:rPr>
        <w:t xml:space="preserve"> 约4480万元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jc w:val="left"/>
        <w:spacing w:line="360" w:lineRule="auto"/>
        <w:rPr>
          <w:rFonts w:hint="eastAsia" w:ascii="宋体" w:hAnsi="宋体" w:eastAsia="宋体" w:cs="Times New Roman"/>
          <w:color w:val="auto"/>
          <w:szCs w:val="21"/>
          <w:highlight w:val="none"/>
          <w:u w:val="single"/>
          <w:lang w:val="en-US" w:eastAsia="zh-CN"/>
        </w:rPr>
      </w:pPr>
      <w:r>
        <w:rPr>
          <w:rFonts w:hint="eastAsia" w:ascii="宋体" w:hAnsi="宋体" w:cs="宋体"/>
          <w:color w:val="auto"/>
          <w:highlight w:val="none"/>
          <w:lang w:val="en-US" w:eastAsia="zh-CN"/>
        </w:rPr>
        <w:t xml:space="preserve">4. 招标范围：</w:t>
      </w:r>
      <w:r>
        <w:rPr>
          <w:rFonts w:hint="eastAsia" w:ascii="宋体" w:hAnsi="宋体" w:cs="宋体"/>
          <w:color w:val="auto"/>
          <w:highlight w:val="none"/>
          <w:u w:val="single"/>
        </w:rPr>
        <w:t xml:space="preserve">设计图纸与工程量清单范围内的项目施工全过程及保修阶段监理</w:t>
      </w:r>
      <w:r>
        <w:rPr>
          <w:rFonts w:hint="eastAsia" w:ascii="宋体" w:hAnsi="宋体" w:eastAsia="宋体" w:cs="Times New Roman"/>
          <w:color w:val="auto"/>
          <w:szCs w:val="21"/>
          <w:highlight w:val="none"/>
          <w:u w:val="single"/>
          <w:lang w:val="en-US" w:eastAsia="zh-CN"/>
        </w:rPr>
        <w:t xml:space="preserve"> </w:t>
      </w:r>
      <w:r/>
    </w:p>
    <w:p>
      <w:pPr>
        <w:jc w:val="left"/>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 工程概算投资额或建筑安装工程费：</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 </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二、词语限定</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协议书中相关词语的含义与通用条件中的定义与解释相同。</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三、组成本合同的文件</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 协议书；</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 中标通知书(适用于招标工程)或委托书(适用于非招标工程)；</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3. 投标文件(适用于招标工程) 或监理与相关服务建议书(适用于非招标工程)；</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4. 专用条件；</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5. 通用条件；</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6. 附录，即：</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附录 A  相关服务的范围和内容</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附录 B  委托人派遣的人员和提供的房屋、资料、设备本合同签订后， 双方依法签订的补充协议也是本合同文件的组成部分。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四、总监理工程师</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总监理工程师姓名：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，身份证号码：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，注册号：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五、签约酬金</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签约酬金(大写)：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包括：</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  监理酬金：</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  相关服务酬金：</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其中：</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 勘察阶段服务酬金：</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 设计阶段服务酬金：</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(3) 保修阶段服务酬金：</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(4) 其他相关服务酬金：</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六、期限</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 监理期限：</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自</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日始，至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日止。</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 相关服务期限：</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 勘察阶段服务期限自</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日始， 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日止。</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 设计阶段服务期限自</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日始， 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日止。</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(3) 保修阶段服务期限自</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日始， 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日止。</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(4) 其他相关服务期限自</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日始， 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日止。</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七、双方承诺</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  监理人向委托人承诺，按照本合同约定提供监理与相关服务。</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  委托人向监理人承诺， 按照本合同约定派遣相应的人员，提供房屋、资料、设备，并按本合 同约定支付酬金。</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八、合同订立</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  订立时间：</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2025</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  订立地点：</w:t>
      </w:r>
      <w:r>
        <w:rPr>
          <w:rFonts w:hint="eastAsia" w:ascii="宋体" w:hAnsi="宋体" w:cs="宋体"/>
          <w:color w:val="auto"/>
          <w:highlight w:val="none"/>
          <w:u w:val="single"/>
          <w:lang w:val="en-US" w:eastAsia="zh-CN"/>
        </w:rPr>
        <w:t xml:space="preserve">    扬州市江都区     </w:t>
      </w:r>
      <w:r>
        <w:rPr>
          <w:rFonts w:hint="eastAsia" w:ascii="宋体" w:hAnsi="宋体" w:cs="宋体"/>
          <w:color w:val="auto"/>
          <w:highlight w:val="none"/>
        </w:rPr>
        <w:t xml:space="preserve">。</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3.  本合同一式</w:t>
      </w:r>
      <w:r>
        <w:rPr>
          <w:rFonts w:hint="eastAsia" w:ascii="宋体" w:hAnsi="宋体" w:cs="宋体"/>
          <w:color w:val="auto"/>
          <w:highlight w:val="none"/>
          <w:u w:val="single"/>
          <w:lang w:val="en-US" w:eastAsia="zh-CN"/>
        </w:rPr>
        <w:t xml:space="preserve"> 玖 </w:t>
      </w:r>
      <w:r>
        <w:rPr>
          <w:rFonts w:hint="eastAsia" w:ascii="宋体" w:hAnsi="宋体" w:cs="宋体"/>
          <w:color w:val="auto"/>
          <w:highlight w:val="none"/>
        </w:rPr>
        <w:t xml:space="preserve">份， 具有同等法律效力，</w:t>
      </w:r>
      <w:r>
        <w:rPr>
          <w:rFonts w:hint="eastAsia" w:ascii="宋体" w:hAnsi="宋体" w:cs="宋体"/>
          <w:color w:val="auto"/>
          <w:highlight w:val="none"/>
          <w:lang w:val="en-US" w:eastAsia="zh-CN"/>
        </w:rPr>
        <w:t xml:space="preserve">委托人</w:t>
      </w:r>
      <w:r>
        <w:rPr>
          <w:rFonts w:hint="eastAsia" w:ascii="宋体" w:hAnsi="宋体" w:cs="宋体"/>
          <w:color w:val="auto"/>
          <w:highlight w:val="none"/>
          <w:u w:val="single"/>
          <w:lang w:val="en-US" w:eastAsia="zh-CN"/>
        </w:rPr>
        <w:t xml:space="preserve"> 伍 </w:t>
      </w:r>
      <w:r>
        <w:rPr>
          <w:rFonts w:hint="eastAsia" w:ascii="宋体" w:hAnsi="宋体" w:cs="宋体"/>
          <w:color w:val="auto"/>
          <w:highlight w:val="none"/>
          <w:lang w:val="en-US" w:eastAsia="zh-CN"/>
        </w:rPr>
        <w:t xml:space="preserve">份，监理人和见证方各</w:t>
      </w:r>
      <w:r>
        <w:rPr>
          <w:rFonts w:hint="eastAsia" w:ascii="宋体" w:hAnsi="宋体" w:cs="宋体"/>
          <w:color w:val="auto"/>
          <w:highlight w:val="none"/>
        </w:rPr>
        <w:t xml:space="preserve">执</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份。</w:t>
      </w:r>
      <w:r/>
    </w:p>
    <w:p>
      <w:pPr>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(以下无正文)</w:t>
      </w:r>
      <w:r/>
    </w:p>
    <w:p>
      <w:pPr>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委托人：     (盖章)                    监理人：     (盖章)</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住所：                                 住所：</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邮政编码：                             邮政编码：</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法定代表人或其授权                     法定代表人或其授权</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的代理人：(签字)                       的代理人：(签字)</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开户银行：                             开户银行：</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账号：                                 账号：</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电话：                                 电话：</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传真：                                 传真：</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电子邮箱：                             电子邮箱：</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见证方：</w:t>
      </w:r>
      <w:r/>
    </w:p>
    <w:p>
      <w:pPr>
        <w:jc w:val="left"/>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日期：     年   月    日</w:t>
      </w:r>
      <w:r/>
    </w:p>
    <w:p>
      <w:pPr>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highlight w:val="none"/>
        </w:rPr>
      </w:pPr>
      <w:r>
        <w:rPr>
          <w:rFonts w:ascii="宋体" w:hAnsi="宋体" w:cs="宋体"/>
          <w:color w:val="auto"/>
          <w:highlight w:val="none"/>
        </w:rPr>
      </w:r>
      <w:r/>
    </w:p>
    <w:p>
      <w:pPr>
        <w:jc w:val="center"/>
        <w:rPr>
          <w:rFonts w:ascii="黑体" w:hAnsi="黑体" w:eastAsia="黑体" w:cs="黑体"/>
          <w:color w:val="auto"/>
          <w:spacing w:val="10"/>
          <w:sz w:val="31"/>
          <w:szCs w:val="31"/>
          <w:highlight w:val="none"/>
        </w:rPr>
      </w:pPr>
      <w:r>
        <w:rPr>
          <w:rFonts w:hint="eastAsia" w:ascii="黑体" w:hAnsi="黑体" w:eastAsia="黑体" w:cs="黑体"/>
          <w:color w:val="auto"/>
          <w:spacing w:val="10"/>
          <w:sz w:val="31"/>
          <w:szCs w:val="31"/>
          <w:highlight w:val="none"/>
        </w:rPr>
        <w:br w:type="page" w:clear="all"/>
      </w:r>
      <w:r>
        <w:rPr>
          <w:rFonts w:hint="eastAsia" w:ascii="黑体" w:hAnsi="黑体" w:eastAsia="黑体" w:cs="黑体"/>
          <w:color w:val="auto"/>
          <w:spacing w:val="10"/>
          <w:sz w:val="31"/>
          <w:szCs w:val="31"/>
          <w:highlight w:val="none"/>
        </w:rPr>
        <w:t xml:space="preserve">第二部分  通用条件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定义与解释</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 定义</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除根据上下文另有其意义外，组成本合同的全部文件中的下列名词和用语应具有本款所赋予的含义：</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 “工程”是指按照本合同约定实施监理与相关服务的建设工程。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1.1.2 “委托人”是指本合同中委托监理与相关服务的一方， 及其合法的继承人或受让人。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1.1.3 “监理人”是指本合同中提供监理与相关服务的一方， 及其合法的继承人。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1.1.4 “承包人”是指在工程范围内与委托人签订勘察、设计、施工等有关合同的当事人，及其合法的继承人。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1.1.6 “相关服务”是指监理人受委托人的委托 ，按照本合同约定，在勘察、设计、保修等阶段提供的服务活动。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1.1.7 “正常工作”指本合同订立时通用条件和专用条件中约定的监理人的工作。</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1.1.8 “附加工作”是指本合同约定的正常工作以外监理人的工作。</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1.1.9 “项目监理机构”是指监理人派驻工程负责履行本合同的组织机构。</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1.1.10 “总监理工程师”是指由监理人的法定代表人书面授权，全面负责履行本合同、主持项目监理机构工作的注册监理工程师。</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1.1.11 “酬金”是指监理人履行本合同义务， 委托人按照本合同约定给付监理人的金额。</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1.1.12 “正常工作酬金”是指监理人完成正常工作，委托人应给付监理人并在协议书中载明的签约酬金额。</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1.1.13 “附加工作酬金”是指监理人完成附加工作，委托人应给付监理人的金额。</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1.1.14 “一方”是指委托人或监理人；“双方”是指委托人和监理人；“第三方”是指除委托人和监理人以外的有关方。</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1.1.15 “书面形式”是指合同书、信件和数据电文(包括电报、电传、传真、电子数据交换和电子邮件) 等可以有形地表现所载内容的形式。</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1.1.16 “天”是指第一天零时至第二天零时的时间。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1.1.17 “月”是指按公历从一个月中任何一天开始的一个公历月时间。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1.1.18 “不可抗力”是指委托人和监理人在订立本合同时不可预见，在工程施工过程中不可避免发生并不能克服的自然灾害和社会性突发事件，如地震、海啸、瘟疫、水灾、骚乱、 暴动、战争和专用条件约定的其他情形。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1.2 解释</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1.2.1 本合同使用中文书写、解释和说明。如专用条件约定使用两种及以上语言文字时，应以中文为准。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1.2.2 组成本合同的下列文件彼此应能相互解释、互为说明。除专用条件另有约定外，本合同文件的解释顺序如下：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协议书；</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 中标通知书(适用于招标工程) 或委托书(适用于非招标工程)；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 专用条件及附录 A、附录 B；</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 通用条件；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 投标文件(适用于招标工程)或监理与相关服务建议书(适用于非招标工程)。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双方签订的补充协议与其他文件发生矛盾或歧义时，属于同一类内容的文件，应以最新签署的为准。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  监理人的义务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2.1 监理的范围和工作内容</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2.1.1 监理范围在专用条件中约定。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2.1.2 除专用条件另有约定外， 监理工作内容包括：</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收到工程设计文件后编制监理规划， 并在第一次工地会议 7 天前报委托人。根据有关规定和监理工作需要，编制监理实施细则；</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 熟悉工程设计文件，并参加由委托人主持的图纸会审和设计交底会议；</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 参加由委托人主持的第一次工地会议；主持监理例会并根据工程需要主持或参加专题会议；</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 审查施工承包人提交的施工组织设计，重点审查其中的质量安全技术措施、专项施工方案与工程建设强制性标准的符合性；</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 检查施工承包人工程质量、安全生产管理制度及组织机构和人员资格；</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 检查施工承包人专职安全生产管理人员的配备情况；</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 审查施工承包人提交的施工进度计划，核查承包人对施工进度计划的调整；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 检查施工承包人的试验室；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(9) 审核施工分包人资质条件；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(10) 查验施工承包人的施工测量放线成果；</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 审查工程开工条件，对条件具备的签发开工令；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(12)审查施工承包人报送的工程材料、构配件、设备质量证明文件的有效性和符合性，并按规定对用于工程的材料采取平行检验或见证取样方式进行抽检；</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(13)审核施工承包人提交的工程款支付申请，签发或出具工程款支付证书，并报委托人审核、批准；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(14)在巡视、旁站和检验过程中，发现工程质量、施工安全存在事故隐患的，要求施工承包人整改并报委托人；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(15) 经委托人同意，签发工程暂停令和复工令；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(16)审查施工承包人提交的采用新材料、新工艺、新技术、新设备的论证材料及相关验收标准；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(17) 验收隐蔽工程、分部分项工程；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(18)审查施工承包人提交的工程变更申请，协调处理施工进度调整、费用索赔、合同争议等事项；</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(19) 审查施工承包人提交的竣工验收申请， 编写工程质量评估报告；</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(20) 参加工程竣工验收，签署竣工验收意见；</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(21) 审查施工承包人提交的竣工结算申请并报委托人；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(22) 编制、整理工程监理归档文件并报委托人。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2.1.3 相关服务的范围和内容在附录 A 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2.2 监理与相关服务依据</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2.2.1 监理依据包括：</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适用的法律、行政法规及部门规章；</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 与工程有关的标准；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 工程设计及有关文件；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 本合同及委托人与第三方签订的与实施工程有关的其他合同。</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双方根据工程的行业和地域特点，在专用条件中具体约定监理依据。</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2.2.2 相关服务依据在专用条件中约定。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2.3 项目监理机构和人员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2.3.1 监理人应组建满足工作需要的项目监理机构，配备必要的检测设备。项目监理机构的主要人员应具有相应的资格条件。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2.3.2 本合同履行过程中，总监理工程师及重要岗位监理人员应保持相对稳定，以保证监理工作正常进行。</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2.3.3 监理人可根据工程进展和工作需要调整项目监理机构人员。监理人更换总监理工程师时，应提前 7 天向委托人书面报告，经委托人同意后方可更换；监理人更换项目监理机构其他监理人员， 应以相当资格与能力的人员替换，并通知委托人。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2.3.4 监理人应及时更换有下列情形之一的监理人员：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严重过失行为的；</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 有违法行为不能履行职责的；</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 涉嫌犯罪的；</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 不能胜任岗位职责的；</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 严重违反职业道德的；</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 专用条件约定的其他情形。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2.3.5 委托人可要求监理人更换不能胜任本职工作的项目监理机构人员。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2.4 履行职责</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监理人应遵循职业道德准则和行为规范，严格按照法律法规、工程建设有关标准及本合同履行职责。</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2.4.1 在监理与相关服务范围内，委托人和承包人提出的意见和要求， 监理人应及时提出处置意见。当委托人与承包人之间发生合同争议时，监理人应协助委托人、承包人协商解决。</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2.4.2 当委托人与承包人之间的合同争议提交仲裁机构仲裁或人民法院审理时，监理人应提供必要的证明资料。</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2.4.3 监理人应在专用条件约定的授权范围内，处理委托人与承包人所签订合同的变更事宜。如果变更超过授权范围，应以书面形式报委托人批准。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在紧急情况下，为了保护财产和人身安全，监理人所发出的指令未能事先报委托人批准时，应在发出指令后的 24 小时内以书面形式报委托人。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2.4.4 除专用条件另有约定外，监理人发现承包人的人员不能胜任本职工作的，有权要求承包人予以调换。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2.5 提交报告</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监理人应按专用条件约定的种类、时间和份数向委托人提交监理与相关服务的报告。</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2.6 文件资料</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在本合同履行期内，监理人应在现场保留工作所用的图纸、报告及记录监理工作的相关文件。工程竣工后，应当按照档案管理规定将监理有关文件归档。</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2.7 使用委托人的财产</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监理人无偿使用附录 B 中由委托人派遣的人员和提供的房屋、资料、设备。除专用条件另有约定外， 委托人提供的房屋、设备属于委托人的财产，监理人应妥善使用和保管，在本合同终止时将这些房屋、设备的清单提交委托人，并按专用条件约定的时间和方式移交。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3．委托人的义务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3.1 告知</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委托人应在委托人与承包人签订的合同中明确监理人、总监理工程师和授予项目监理机构的权限。如有变更，应及时通知承包人。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3.2 提供资料</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委托人应按照附录 B 约定，无偿向监理人提供工程有关的资料。在本合同履行过程中， 委托人应及时向监理人提供最新的与工程有关的资料。</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3.3 提供工作条件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委托人应为监理人完成监理与相关服务提供必要的条件。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3.3.1 委托人应按照附录 B 约定，派遣相应的人员，提供房屋、设备，供监理人无偿使用。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3.3.2 委托人应负责协调工程建设中所有外部关系，为监理人履行本合同提供必要的外部条件。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3.4 委托人代表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委托人应授权一名熟悉工程情况的代表，负责与监理人联系。委托人应在双方签订本合同后 7 天内，将委托人代表的姓名和职责书面告知监理人。当委托人更换委托人代表时，应提前 7 天通知监理人。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3.5 委托人意见或要求</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在本合同约定的监理与相关服务工作范围内，委托人对承包人的任何意见或要求应通知监理人，由监理人向承包人发出相应指令。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3.6 答复</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委托人应在专用条件约定的时间内，对监理人以书面形式提交并要求作出决定的事宜，给予书面答复。逾期未答复的，视为委托人认可。</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3.7 支付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委托人应按本合同约定， 向监理人支付酬金。</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  违约责任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4.1 监理人的违约责任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监理人未履行本合同义务的，应承担相应的责任。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4.1.1 因监理人违反本合同约定给委托人造成损失的，监理人应当赔偿委托人损失。赔偿金额的确定方法在专用条件中约定。监理人承担部分赔偿责任的，其承担赔偿金额由双方协商确定。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4.1.2 监理人向委托人的索赔不成立时，监理人应赔偿委托人由此发生的费用。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4.2 委托人的违约责任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委托人未履行本合同义务的，应承担相应的责任。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4.2.1 委托人违反本合同约定造成监理人损失的，委托人应予以赔偿。</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4.2.2 委托人向监理人的索赔不成立时，应赔偿监理人由此引起的费用。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4.2.3 委托人未能按期支付酬金超过 28天，应按专用条件约定支付逾期付款利息。</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4.3 除外责任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因非监理人的原因，且监理人无过错，发生工程质量事故、安全事故、工期延误等造成的损失，监理人不承担赔偿责任。因不可抗力导致本合同全部或部分不能履行时，双方各自承担其因此而造成的损失、损害。</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 支付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5.1 支付货币</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除专用条件另有约定外，酬金均以人民币支付。涉及外币支付的，所采用的货币种类、比例和汇率在专用条件中约定。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5.2 支付申请</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监理人应在本合同约定的每次应付款时间的 7 天前，向委托人提交支付申请书。支付申请书应当说明当期应付款总额，并列出当期应支付的款项及其金额。</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5.3 支付酬金</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支付的酬金包括正常工作酬金、附加工作酬金、合理化建议奖励金额及费用。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5.4 有争议部分的付款</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委托人对监理人提交的支付申请书有异议时， 应当在收到监理人提交的支付申请书后 7 天内，以书面形式向监理人发出异议通知。无异议部分的款项应按期支付，有异议部分的款项按 第 7 条约定办理。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  合同生效、变更、暂停、解除与终止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6.1 生效</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除法律另有规定或者专用条件另有约定外，委托人和监理人的法定代表人或其授权代理人在协议书上签字并盖单位章后本合同生效。</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6.2 变更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6.2.1 任何一方提出变更请求时，双方经协商一致后可进行变更。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6.2.2 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6.2.3 合同生效后，如果实际情况发生变化使得监理人不能完成全部或部分工作时，监理人应立即通知委托人。除不可抗力外， 其善后工作以及恢复服务的准备工作应为附加工作，附加工作酬金的确定方法在专用条件中约定。监理人用于恢复服务的准备时间不应超过 28 天。</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6.2.4 合同签订后， 遇有与工程相关的法律法规、标准颁布或修订的，双方应遵照执行。由此引起监理与相关服务的范围、时间、酬金变化的，双方应通过协商进行相应调整。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6.2.5 因非监理人原因造成工程概算投资额或建筑安装工程费增加时，正常工作酬金应作相应调整。调整方法在专用条件中约定。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6.2.6 因工程规模、监理范围的变化导致监理人的正常工作量减少时，正常工作酬金应作应调整。调整方法在专用条件中约定。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6.3 暂停与解除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除双方协商一致可以解除本合同外，当一方无正当理由未履行本合同约定的义务时， 另一方可以根据本合同约定暂停履行本合同直至解除本合同。</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6.3.1 在本合同有效期内，由于双方无法预见和控制的原因导致本合同全部或部分无法继续履行或继续履行已无意义，经双方协商一致，可以解除本合同或监理人的部分义务。在解除 之前，监理人应作出合理安排， 使开支减至最小。</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因解除本合同或解除监理人的部分义务导致监理人遭受的损失，除依法可以免除责任的情况外，应由委托人予以补偿，补偿金额由双方协商确定。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解除本合同的协议必须采取书面形式，协议未达成之前，本合同仍然有效。</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暂停部分监理与相关服务时间超过 182 天，监理人可发出解除本合同约定的该部分义务的通知； 暂停全部工作时间超过 182 天，监理人可发出解除本合同的通知，本合同自通知到达委托人时解除。委托人应将监理与相关服务的酬金支付至本合同解除日，且应承担第 4.2 款约定的责任。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6.3.3 当监理人无正当理由未履行本合同约定的义务时， 委托人应通知监理人限期改正。若委托人在监理人接到通知后的 7 天内未收到监理人书面形式的合理解释， 则可在 7 天内发出 解除本合同的通知，自通知到达监理人时本合同解除。委托人应将监理与相关服务的酬金支付至限期改正通知到达监理人之日，但监理人应承担第 4.1 款约定的责任。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6.3.4 监理人在专用条件 5.3 中约定的支付之日起 28 天后仍未收到委托人按本合同约定应 付的款项，可向委托人发出催付通知。委托人接到通知 14 天后仍未支付或未提出监理人可以接 受的延期支付安排，监理人可向委托人发出暂停工作的通知并可自行暂停全部或部分工作。暂 停工作后 14 天内监理人仍未获得委托人应付酬金或委托人的合理答复，监理人可向委托人发出 解除本合同的通知，自通知到达委托人时本合同解除。委托人应承担第 4.2.3 款约定的责任。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6.3.5 因不可抗力致使本合同部分或全部不能履行时，一方应立即通知另一方，可暂停或解除本合同。</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6.3.6 本合同解除后，本合同约定的有关结算、清理、争议解决方式的条件仍然有效。</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6.4 终止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以下条件全部满足时，本合同即告终止：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监理人完成本合同约定的全部工作；</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 委托人与监理人结清并支付全部酬金。</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  争议解决</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7.1 协商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双方应本着诚信原则协商解决彼此间的争议。</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7.2 调解</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如果双方不能在 14 天内或双方商定的其他时间内解决本合同争议，可以将其提交给专用条件约定的或事后达成协议的调解人进行调解。</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7.3 仲裁或诉讼</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双方均有权不经调解直接向专用条件约定的仲裁机构申请仲裁或向有管辖权的人民法院提起诉讼。</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  其他</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8.1 外出考察费用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经委托人同意， 监理人员外出考察发生的费用由委托人审核后支付。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8.2 检测费用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委托人要求监理人进行的材料和设备检测所发生的费用，由委托人支付，支付时间在专用条件中约定。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8.3 咨询费用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经委托人同意，根据工程需要由监理人组织的相关咨询论证会以及聘请相关专家等发生的费用由委托人支付， 支付时间在专用条件中约定。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8.4 奖励</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监理人在服务过程中提出的合理化建议，使委托人获得经济效益的，双方在专用条件中约定奖励金额的确定方法。奖励金额在合理化建议被采纳后，与最近一期的正常工作酬金同期支付。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8.5 守法诚信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监理人及其工作人员不得从与实施工程有关的第三方处获得任何经济利益。</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8.6 保密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双方不得泄露对方申明的保密资料，亦不得泄露与实施工程有关的第三方所提供的保密资料，保密事项在专用条件中约定。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8.7 通知</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本合同涉及的通知均应当采用书面形式， 并在送达对方时生效，收件人应书面签收。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8.8 著作权</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监理人对其编制的文件拥有著作权。</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监理人可单独或与他人联合出版有关监理与相关服务的资料。除专用条件另有约定外，如 果监理人在本合同履行期间及本合同终止后两年内出版涉及本工程的有关监理与相关服务的资料，应当征得委托人的同意。</w:t>
      </w:r>
      <w:r/>
    </w:p>
    <w:p>
      <w:pPr>
        <w:rPr>
          <w:rFonts w:hint="eastAsia" w:ascii="黑体" w:hAnsi="黑体" w:eastAsia="黑体" w:cs="黑体"/>
          <w:color w:val="auto"/>
          <w:spacing w:val="10"/>
          <w:sz w:val="31"/>
          <w:szCs w:val="31"/>
          <w:highlight w:val="none"/>
        </w:rPr>
      </w:pPr>
      <w:r>
        <w:rPr>
          <w:rFonts w:hint="eastAsia" w:ascii="黑体" w:hAnsi="黑体" w:eastAsia="黑体" w:cs="黑体"/>
          <w:color w:val="auto"/>
          <w:spacing w:val="10"/>
          <w:sz w:val="31"/>
          <w:szCs w:val="31"/>
          <w:highlight w:val="none"/>
        </w:rPr>
        <w:br w:type="page" w:clear="all"/>
      </w:r>
      <w:r/>
    </w:p>
    <w:p>
      <w:pPr>
        <w:jc w:val="center"/>
        <w:rPr>
          <w:rFonts w:hint="eastAsia" w:ascii="黑体" w:hAnsi="黑体" w:eastAsia="黑体" w:cs="黑体"/>
          <w:color w:val="auto"/>
          <w:spacing w:val="10"/>
          <w:sz w:val="31"/>
          <w:szCs w:val="31"/>
          <w:highlight w:val="none"/>
          <w:lang w:eastAsia="zh-CN"/>
        </w:rPr>
      </w:pPr>
      <w:r>
        <w:rPr>
          <w:rFonts w:hint="eastAsia" w:ascii="黑体" w:hAnsi="黑体" w:eastAsia="黑体" w:cs="黑体"/>
          <w:color w:val="auto"/>
          <w:spacing w:val="10"/>
          <w:sz w:val="31"/>
          <w:szCs w:val="31"/>
          <w:highlight w:val="none"/>
        </w:rPr>
        <w:t xml:space="preserve">第三部分  专用</w:t>
      </w:r>
      <w:r>
        <w:rPr>
          <w:rFonts w:hint="eastAsia" w:ascii="黑体" w:hAnsi="黑体" w:eastAsia="黑体" w:cs="黑体"/>
          <w:color w:val="auto"/>
          <w:spacing w:val="10"/>
          <w:sz w:val="31"/>
          <w:szCs w:val="31"/>
          <w:highlight w:val="none"/>
          <w:lang w:val="en-US" w:eastAsia="zh-CN"/>
        </w:rPr>
        <w:t xml:space="preserve">条款</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定义与解释</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1.2  解释</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1.2.1 本合同文件除使用中文外，还可用 </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1.2.2 约定本合同文件的解释顺序为</w:t>
      </w:r>
      <w:r>
        <w:rPr>
          <w:rFonts w:hint="eastAsia" w:ascii="宋体" w:hAnsi="宋体" w:cs="宋体"/>
          <w:color w:val="auto"/>
          <w:highlight w:val="none"/>
          <w:u w:val="single"/>
        </w:rPr>
        <w:t xml:space="preserve">： (1)协议书；(2) 中标</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成交</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通知书(适用于招标工程)或委托书(适用于非招标工程)；(3)  招标文件；(4) 专用条件及附录 A、附录 B；(5) 通用条件；(6)投标文件(适用于招标工程)或监理与相关服务建议书(适用于非招标工程)。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 监理人义务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2.1 监理的范围和内容</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2.1.1 监理范围包括：</w:t>
      </w:r>
      <w:r>
        <w:rPr>
          <w:rFonts w:hint="eastAsia" w:ascii="宋体" w:hAnsi="宋体" w:cs="宋体"/>
          <w:color w:val="auto"/>
          <w:highlight w:val="none"/>
          <w:u w:val="single"/>
        </w:rPr>
        <w:t xml:space="preserve">设计图纸与工程量清单范围内的项目施工全过程及保修阶段监理。</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2.1.2 监理工作内容还包括：</w:t>
      </w:r>
      <w:r>
        <w:rPr>
          <w:rFonts w:hint="eastAsia" w:ascii="宋体" w:hAnsi="宋体" w:cs="宋体"/>
          <w:color w:val="auto"/>
          <w:highlight w:val="none"/>
          <w:u w:val="single"/>
        </w:rPr>
        <w:t xml:space="preserve"> 施工阶段和保修阶段的三控制、两管理、一协调和安全管理。包含但不限于以下事项：(1) 投资控制；(2) 工期控制；(3) 质量控制；(4) 信息管理；(5) 合同管理；(6)安全管理；(7)组织协调；(8)质量保修期的监理工作；(9)委托人委托的其他工作。</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2.2 监理与相关服务依据</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2.2.1 监理依据包括： </w:t>
      </w:r>
      <w:r>
        <w:rPr>
          <w:rFonts w:hint="eastAsia" w:ascii="宋体" w:hAnsi="宋体" w:cs="宋体"/>
          <w:color w:val="auto"/>
          <w:highlight w:val="none"/>
          <w:u w:val="single"/>
        </w:rPr>
        <w:t xml:space="preserve">(1) 国家、江苏省及扬州市有关工程建设法律、法规、规章、规定。执行时按扬州市、江苏省、国家的以及双方协商的顺序执行；(2)国家施工验收规范、规程、工程质量验收标准及扬州市档案馆的工程竣工资料规定；(3)相关合同文件；(4)本工程的设计文件，包括工程施工过程中的设计变更洽商文件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2.2.2 相关服务依据包括：</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2.3 项目监理机构和人员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2.3.1 监理人员按监理人投标文件约定的人员配置进行监理工作。</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2.3.2 </w:t>
      </w:r>
      <w:r>
        <w:rPr>
          <w:rFonts w:hint="eastAsia" w:ascii="宋体" w:hAnsi="宋体" w:cs="宋体"/>
          <w:color w:val="auto"/>
          <w:highlight w:val="none"/>
          <w:u w:val="single"/>
        </w:rPr>
        <w:t xml:space="preserve">总监在现场的天数每月不得少于20天，每少一天监理人承担违约金2000元；现场派驻的监理人员数量原则不得少于招投标文件约定人数，每少1人，监理人承担违约金2000元/天。</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2.3.4 更换监理人员的其他情形：</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2.4 履行职责</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2.4.3 对监理人的授权范围：</w:t>
      </w:r>
      <w:r>
        <w:rPr>
          <w:rFonts w:hint="eastAsia" w:ascii="宋体" w:hAnsi="宋体" w:cs="宋体"/>
          <w:color w:val="auto"/>
          <w:highlight w:val="none"/>
          <w:u w:val="single"/>
        </w:rPr>
        <w:t xml:space="preserve">在施工阶段对建设工程质量、进度、造价进行控制（涉及工程投资的签证变更等事项需得到委托人批准），对合同、信息进行管理，对工程建设相关方的关系进行协调，并履行建设工程安全生产管理法定职责的服务活动，质量保修期的监理工作，以及委托人委托的其它工作等。</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2.4.4 监理人有权要求承包人调换其人员的限制条件：</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2.5 提交报告</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监理人应提交报告的种类(包括监理规划、监理月报及约定的专项报告)、时间和份数：</w:t>
      </w:r>
      <w:r>
        <w:rPr>
          <w:rFonts w:hint="eastAsia" w:ascii="宋体" w:hAnsi="宋体" w:cs="宋体"/>
          <w:color w:val="auto"/>
          <w:highlight w:val="none"/>
          <w:u w:val="single"/>
        </w:rPr>
        <w:t xml:space="preserve">监理规划在开工后 14 天之内提交，监理月报在每月</w:t>
      </w:r>
      <w:r>
        <w:rPr>
          <w:rFonts w:hint="eastAsia" w:ascii="宋体" w:hAnsi="宋体" w:cs="宋体"/>
          <w:color w:val="auto"/>
          <w:highlight w:val="none"/>
          <w:u w:val="single"/>
          <w:lang w:val="en-US" w:eastAsia="zh-CN"/>
        </w:rPr>
        <w:t xml:space="preserve">25</w:t>
      </w:r>
      <w:r>
        <w:rPr>
          <w:rFonts w:hint="eastAsia" w:ascii="宋体" w:hAnsi="宋体" w:cs="宋体"/>
          <w:color w:val="auto"/>
          <w:highlight w:val="none"/>
          <w:u w:val="single"/>
        </w:rPr>
        <w:t xml:space="preserve">日前提交。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2.7 使用委托人的财产</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附录 B 中由委托人无偿提供的房屋、设备的所有权属于：</w:t>
      </w:r>
      <w:r>
        <w:rPr>
          <w:rFonts w:hint="eastAsia" w:ascii="宋体" w:hAnsi="宋体" w:cs="宋体"/>
          <w:color w:val="auto"/>
          <w:highlight w:val="none"/>
          <w:u w:val="single"/>
        </w:rPr>
        <w:t xml:space="preserve">  委托人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监理人应在本合同终止后</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14</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天内移交委托人无偿提供的房屋、设备， 移交的时间和方式为：</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  委托人义务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3.4 委托人代表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委托人代表为：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3.6 答复</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委托人同意在</w:t>
      </w:r>
      <w:r>
        <w:rPr>
          <w:rFonts w:hint="eastAsia" w:ascii="宋体" w:hAnsi="宋体" w:cs="宋体"/>
          <w:color w:val="auto"/>
          <w:highlight w:val="none"/>
          <w:u w:val="single"/>
        </w:rPr>
        <w:t xml:space="preserve">  7  </w:t>
      </w:r>
      <w:r>
        <w:rPr>
          <w:rFonts w:hint="eastAsia" w:ascii="宋体" w:hAnsi="宋体" w:cs="宋体"/>
          <w:color w:val="auto"/>
          <w:highlight w:val="none"/>
        </w:rPr>
        <w:t xml:space="preserve">天内，对监理人书面提交并要求做出决定的事宜给予书面答复。</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  违约责任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4.1 监理人的违约责任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4.1.1 监理人赔偿金额按下列方法确定：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赔偿金＝直接经济损失×正常工作酬金÷工程概算投资额(或建筑安装工程费)</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4.1.2 </w:t>
      </w:r>
      <w:r>
        <w:rPr>
          <w:rFonts w:hint="eastAsia" w:ascii="宋体" w:hAnsi="宋体" w:cs="宋体"/>
          <w:color w:val="auto"/>
          <w:highlight w:val="none"/>
          <w:u w:val="single"/>
        </w:rPr>
        <w:t xml:space="preserve">监理质量目标为委托人对施工承包单位(含专业分包单位) 的合同质量要求，并通过工程实体的实测实量(借助专业仪器和工具，在中间验收、竣工验收或每月的例行检查时进行)。 若所监理的标段未达到施工承包合同规定的质量标准，监理人向委托人支付监理费总额10%的违约金，并赔偿由此给委托人造成的损失。</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4.1.3 </w:t>
      </w:r>
      <w:r>
        <w:rPr>
          <w:rFonts w:hint="eastAsia" w:ascii="宋体" w:hAnsi="宋体" w:cs="宋体"/>
          <w:color w:val="auto"/>
          <w:highlight w:val="none"/>
          <w:u w:val="single"/>
        </w:rPr>
        <w:t xml:space="preserve">施工期间由于施工单位违反安全操作规范，而监理人又没有及时指出整改，被政府有关部门处罚，如通报批评、警告和罚款等，监理人应向委托人支付5000元/次的违约金。如超过5次，委托人有权终止合同，监理人须向委托人支付监理总额10%的违约金，并赔偿委托人实际所发生的损失。</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none"/>
        </w:rPr>
        <w:t xml:space="preserve">4.1.4 </w:t>
      </w:r>
      <w:r>
        <w:rPr>
          <w:rFonts w:hint="eastAsia" w:ascii="宋体" w:hAnsi="宋体" w:eastAsia="宋体" w:cs="宋体"/>
          <w:color w:val="auto"/>
          <w:highlight w:val="none"/>
          <w:u w:val="single"/>
        </w:rPr>
        <w:t xml:space="preserve">服务期间，到岗监理人员应和投标人员一致，总监理工程师每周在场不少于 5 天，委托人将对总监到岗情况进行考核，如每周到岗天数少于5天，每少一天，监理人向委托人支付2000 元/天的罚款。如总监未经批准连续10天不到岗，委托人有权终止合同，监理人须向委托人支付监理总额10%的违约金。</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4.1.</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 监理人在责任期内应履行监理合同中约定的义务， 如因监理人过失而造成经济损失， 应向委托人赔偿。</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4.2 委托人的违约责任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4.2.3 委托人逾期付款利息按下列方法确定：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逾期付款利息＝当期应付款总额×银行同期贷款利率×拖延支付天数</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  支付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5.1 支付货币</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币种为：</w:t>
      </w:r>
      <w:r>
        <w:rPr>
          <w:rFonts w:hint="eastAsia" w:ascii="宋体" w:hAnsi="宋体" w:cs="宋体"/>
          <w:color w:val="auto"/>
          <w:highlight w:val="none"/>
          <w:u w:val="single"/>
        </w:rPr>
        <w:t xml:space="preserve"> 人民币 </w:t>
      </w:r>
      <w:r>
        <w:rPr>
          <w:rFonts w:hint="eastAsia" w:ascii="宋体" w:hAnsi="宋体" w:cs="宋体"/>
          <w:color w:val="auto"/>
          <w:highlight w:val="none"/>
        </w:rPr>
        <w:t xml:space="preserve">，比例为：</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，汇率为：</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5.3 支付酬金</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监理费结算：</w:t>
      </w:r>
      <w:r>
        <w:rPr>
          <w:rFonts w:hint="eastAsia" w:ascii="宋体" w:hAnsi="宋体" w:cs="宋体"/>
          <w:b/>
          <w:bCs/>
          <w:color w:val="auto"/>
          <w:highlight w:val="none"/>
          <w:u w:val="single"/>
        </w:rPr>
        <w:t xml:space="preserve">固定总价合同</w:t>
      </w:r>
      <w:r/>
    </w:p>
    <w:p>
      <w:pPr>
        <w:ind w:firstLine="420"/>
        <w:jc w:val="left"/>
        <w:spacing w:line="360" w:lineRule="auto"/>
        <w:rPr>
          <w:rFonts w:hint="eastAsia" w:ascii="宋体" w:hAnsi="宋体" w:eastAsia="宋体" w:cs="宋体"/>
          <w:color w:val="auto"/>
          <w:highlight w:val="none"/>
        </w:rPr>
      </w:pPr>
      <w:r>
        <w:rPr>
          <w:rFonts w:hint="eastAsia" w:ascii="宋体" w:hAnsi="宋体" w:cs="宋体"/>
          <w:color w:val="auto"/>
          <w:highlight w:val="none"/>
        </w:rPr>
        <w:t xml:space="preserve">正常工作酬金的支付：</w:t>
      </w:r>
      <w:r/>
    </w:p>
    <w:tbl>
      <w:tblPr>
        <w:tblStyle w:val="807"/>
        <w:tblW w:w="8679"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93"/>
        <w:gridCol w:w="2893"/>
        <w:gridCol w:w="2893"/>
      </w:tblGrid>
      <w:tr>
        <w:trPr>
          <w:trHeight w:val="517"/>
        </w:trPr>
        <w:tc>
          <w:tcPr>
            <w:shd w:val="clear" w:color="auto" w:fill="ffffff"/>
            <w:tcW w:w="2893" w:type="dxa"/>
            <w:vAlign w:val="center"/>
            <w:textDirection w:val="lrTb"/>
            <w:noWrap w:val="false"/>
          </w:tcPr>
          <w:p>
            <w:pPr>
              <w:ind w:left="0" w:firstLine="0"/>
              <w:jc w:val="center"/>
              <w:spacing w:line="360" w:lineRule="auto"/>
              <w:rPr>
                <w:rFonts w:ascii="宋体" w:hAnsi="宋体" w:cs="宋体"/>
                <w:color w:val="auto"/>
                <w:highlight w:val="none"/>
              </w:rPr>
            </w:pPr>
            <w:r>
              <w:rPr>
                <w:rFonts w:hint="eastAsia" w:ascii="宋体" w:hAnsi="宋体" w:cs="宋体"/>
                <w:color w:val="auto"/>
                <w:highlight w:val="none"/>
              </w:rPr>
              <w:t xml:space="preserve">支付次数</w:t>
            </w:r>
            <w:r/>
          </w:p>
        </w:tc>
        <w:tc>
          <w:tcPr>
            <w:shd w:val="clear" w:color="auto" w:fill="ffffff"/>
            <w:tcW w:w="2893" w:type="dxa"/>
            <w:vAlign w:val="center"/>
            <w:textDirection w:val="lrTb"/>
            <w:noWrap w:val="false"/>
          </w:tcPr>
          <w:p>
            <w:pPr>
              <w:ind w:left="0" w:firstLine="0"/>
              <w:jc w:val="center"/>
              <w:spacing w:line="360" w:lineRule="auto"/>
              <w:rPr>
                <w:rFonts w:ascii="宋体" w:hAnsi="宋体" w:cs="宋体"/>
                <w:color w:val="auto"/>
                <w:highlight w:val="none"/>
              </w:rPr>
            </w:pPr>
            <w:r>
              <w:rPr>
                <w:rFonts w:hint="eastAsia" w:ascii="宋体" w:hAnsi="宋体" w:cs="宋体"/>
                <w:color w:val="auto"/>
                <w:highlight w:val="none"/>
              </w:rPr>
              <w:t xml:space="preserve">支付时间</w:t>
            </w:r>
            <w:r/>
          </w:p>
        </w:tc>
        <w:tc>
          <w:tcPr>
            <w:shd w:val="clear" w:color="auto" w:fill="ffffff"/>
            <w:tcW w:w="2893" w:type="dxa"/>
            <w:vAlign w:val="center"/>
            <w:textDirection w:val="lrTb"/>
            <w:noWrap w:val="false"/>
          </w:tcPr>
          <w:p>
            <w:pPr>
              <w:ind w:left="0" w:firstLine="0"/>
              <w:jc w:val="center"/>
              <w:spacing w:line="360" w:lineRule="auto"/>
              <w:rPr>
                <w:rFonts w:ascii="宋体" w:hAnsi="宋体" w:cs="宋体"/>
                <w:color w:val="auto"/>
                <w:highlight w:val="none"/>
              </w:rPr>
            </w:pPr>
            <w:r>
              <w:rPr>
                <w:rFonts w:hint="eastAsia" w:ascii="宋体" w:hAnsi="宋体" w:cs="宋体"/>
                <w:color w:val="auto"/>
                <w:highlight w:val="none"/>
              </w:rPr>
              <w:t xml:space="preserve">支付比例</w:t>
            </w:r>
            <w:r/>
          </w:p>
        </w:tc>
      </w:tr>
      <w:tr>
        <w:trPr>
          <w:trHeight w:val="521"/>
        </w:trPr>
        <w:tc>
          <w:tcPr>
            <w:shd w:val="clear" w:color="auto" w:fill="ffffff"/>
            <w:tcW w:w="2893" w:type="dxa"/>
            <w:vAlign w:val="center"/>
            <w:textDirection w:val="lrTb"/>
            <w:noWrap w:val="false"/>
          </w:tcPr>
          <w:p>
            <w:pPr>
              <w:ind w:left="0" w:firstLine="0"/>
              <w:jc w:val="center"/>
              <w:spacing w:line="360" w:lineRule="auto"/>
              <w:rPr>
                <w:rFonts w:hint="eastAsia" w:ascii="宋体" w:hAnsi="宋体" w:eastAsia="宋体" w:cs="宋体"/>
                <w:color w:val="auto"/>
                <w:highlight w:val="none"/>
              </w:rPr>
            </w:pPr>
            <w:r>
              <w:rPr>
                <w:rFonts w:hint="eastAsia" w:ascii="宋体" w:hAnsi="宋体" w:cs="宋体"/>
                <w:color w:val="auto"/>
                <w:highlight w:val="none"/>
              </w:rPr>
              <w:t xml:space="preserve">第</w:t>
            </w:r>
            <w:r>
              <w:rPr>
                <w:rFonts w:hint="eastAsia" w:ascii="宋体" w:hAnsi="宋体" w:cs="宋体"/>
                <w:color w:val="auto"/>
                <w:highlight w:val="none"/>
                <w:lang w:val="en-US" w:eastAsia="zh-CN"/>
              </w:rPr>
              <w:t xml:space="preserve">一</w:t>
            </w:r>
            <w:r>
              <w:rPr>
                <w:rFonts w:hint="eastAsia" w:ascii="宋体" w:hAnsi="宋体" w:cs="宋体"/>
                <w:color w:val="auto"/>
                <w:highlight w:val="none"/>
              </w:rPr>
              <w:t xml:space="preserve">次付款</w:t>
            </w:r>
            <w:r/>
          </w:p>
        </w:tc>
        <w:tc>
          <w:tcPr>
            <w:shd w:val="clear" w:color="auto" w:fill="ffffff"/>
            <w:tcW w:w="2893" w:type="dxa"/>
            <w:vAlign w:val="center"/>
            <w:textDirection w:val="lrTb"/>
            <w:noWrap w:val="false"/>
          </w:tcPr>
          <w:p>
            <w:pPr>
              <w:ind w:left="0" w:firstLine="0"/>
              <w:jc w:val="center"/>
              <w:spacing w:line="360" w:lineRule="auto"/>
              <w:rPr>
                <w:rFonts w:ascii="宋体" w:hAnsi="宋体" w:eastAsia="宋体" w:cs="宋体"/>
                <w:color w:val="auto"/>
                <w:highlight w:val="none"/>
              </w:rPr>
            </w:pPr>
            <w:r>
              <w:rPr>
                <w:rFonts w:hint="eastAsia" w:ascii="宋体" w:hAnsi="宋体" w:cs="宋体"/>
                <w:color w:val="auto"/>
                <w:highlight w:val="none"/>
                <w:lang w:val="en-US" w:eastAsia="zh-CN"/>
              </w:rPr>
              <w:t xml:space="preserve">合同签订后</w:t>
            </w:r>
            <w:r/>
          </w:p>
        </w:tc>
        <w:tc>
          <w:tcPr>
            <w:shd w:val="clear" w:color="auto" w:fill="ffffff"/>
            <w:tcW w:w="2893" w:type="dxa"/>
            <w:vAlign w:val="center"/>
            <w:textDirection w:val="lrTb"/>
            <w:noWrap w:val="false"/>
          </w:tcPr>
          <w:p>
            <w:pPr>
              <w:ind w:left="0" w:firstLine="0"/>
              <w:jc w:val="center"/>
              <w:spacing w:line="360" w:lineRule="auto"/>
              <w:rPr>
                <w:rFonts w:ascii="宋体" w:hAnsi="宋体" w:eastAsia="宋体" w:cs="宋体"/>
                <w:color w:val="auto"/>
                <w:highlight w:val="none"/>
              </w:rPr>
            </w:pPr>
            <w:r>
              <w:rPr>
                <w:rFonts w:hint="eastAsia" w:ascii="宋体" w:hAnsi="宋体" w:cs="宋体"/>
                <w:color w:val="auto"/>
                <w:highlight w:val="none"/>
                <w:lang w:val="en-US" w:eastAsia="zh-CN"/>
              </w:rPr>
              <w:t xml:space="preserve">支付合同价30%作为预付款</w:t>
            </w:r>
            <w:r/>
          </w:p>
        </w:tc>
      </w:tr>
      <w:tr>
        <w:trPr>
          <w:trHeight w:val="517"/>
        </w:trPr>
        <w:tc>
          <w:tcPr>
            <w:shd w:val="clear" w:color="auto" w:fill="ffffff"/>
            <w:tcW w:w="2893" w:type="dxa"/>
            <w:vAlign w:val="center"/>
            <w:textDirection w:val="lrTb"/>
            <w:noWrap w:val="false"/>
          </w:tcPr>
          <w:p>
            <w:pPr>
              <w:ind w:left="0" w:firstLine="0"/>
              <w:jc w:val="center"/>
              <w:spacing w:line="360" w:lineRule="auto"/>
              <w:rPr>
                <w:rFonts w:ascii="宋体" w:hAnsi="宋体" w:cs="宋体"/>
                <w:color w:val="auto"/>
                <w:highlight w:val="none"/>
              </w:rPr>
            </w:pPr>
            <w:r>
              <w:rPr>
                <w:rFonts w:hint="eastAsia" w:ascii="宋体" w:hAnsi="宋体" w:cs="宋体"/>
                <w:color w:val="auto"/>
                <w:highlight w:val="none"/>
              </w:rPr>
              <w:t xml:space="preserve">第</w:t>
            </w:r>
            <w:r>
              <w:rPr>
                <w:rFonts w:hint="eastAsia" w:ascii="宋体" w:hAnsi="宋体" w:cs="宋体"/>
                <w:color w:val="auto"/>
                <w:highlight w:val="none"/>
                <w:lang w:val="en-US" w:eastAsia="zh-CN"/>
              </w:rPr>
              <w:t xml:space="preserve">二</w:t>
            </w:r>
            <w:r>
              <w:rPr>
                <w:rFonts w:hint="eastAsia" w:ascii="宋体" w:hAnsi="宋体" w:cs="宋体"/>
                <w:color w:val="auto"/>
                <w:highlight w:val="none"/>
              </w:rPr>
              <w:t xml:space="preserve">次付款</w:t>
            </w:r>
            <w:r/>
          </w:p>
        </w:tc>
        <w:tc>
          <w:tcPr>
            <w:shd w:val="clear" w:color="auto" w:fill="ffffff"/>
            <w:tcW w:w="2893" w:type="dxa"/>
            <w:vAlign w:val="center"/>
            <w:textDirection w:val="lrTb"/>
            <w:noWrap w:val="false"/>
          </w:tcPr>
          <w:p>
            <w:pPr>
              <w:ind w:left="0" w:firstLine="0"/>
              <w:jc w:val="center"/>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工程竣工验收合格后</w:t>
            </w:r>
            <w:r/>
          </w:p>
        </w:tc>
        <w:tc>
          <w:tcPr>
            <w:shd w:val="clear" w:color="auto" w:fill="ffffff"/>
            <w:tcW w:w="2893" w:type="dxa"/>
            <w:vAlign w:val="center"/>
            <w:textDirection w:val="lrTb"/>
            <w:noWrap w:val="false"/>
          </w:tcPr>
          <w:p>
            <w:pPr>
              <w:ind w:left="0" w:firstLine="0"/>
              <w:jc w:val="center"/>
              <w:spacing w:line="360" w:lineRule="auto"/>
              <w:rPr>
                <w:rFonts w:ascii="宋体" w:hAnsi="宋体" w:cs="宋体"/>
                <w:color w:val="auto"/>
                <w:highlight w:val="none"/>
              </w:rPr>
            </w:pPr>
            <w:r>
              <w:rPr>
                <w:rFonts w:hint="eastAsia" w:ascii="宋体" w:hAnsi="宋体" w:cs="宋体"/>
                <w:color w:val="auto"/>
                <w:highlight w:val="none"/>
              </w:rPr>
              <w:t xml:space="preserve">一次</w:t>
            </w:r>
            <w:r>
              <w:rPr>
                <w:rFonts w:hint="eastAsia" w:ascii="宋体" w:hAnsi="宋体" w:cs="宋体"/>
                <w:color w:val="auto"/>
                <w:highlight w:val="none"/>
                <w:lang w:val="en-US" w:eastAsia="zh-CN"/>
              </w:rPr>
              <w:t xml:space="preserve">性</w:t>
            </w:r>
            <w:r>
              <w:rPr>
                <w:rFonts w:hint="eastAsia" w:ascii="宋体" w:hAnsi="宋体" w:cs="宋体"/>
                <w:color w:val="auto"/>
                <w:highlight w:val="none"/>
              </w:rPr>
              <w:t xml:space="preserve">付清余款</w:t>
            </w:r>
            <w:r/>
          </w:p>
        </w:tc>
      </w:tr>
    </w:tbl>
    <w:p>
      <w:pPr>
        <w:spacing w:line="360" w:lineRule="auto"/>
        <w:rPr>
          <w:rFonts w:hint="eastAsia" w:ascii="宋体" w:hAnsi="宋体" w:eastAsia="新宋体"/>
          <w:b/>
          <w:color w:val="auto"/>
          <w:szCs w:val="21"/>
          <w:highlight w:val="none"/>
        </w:rPr>
      </w:pPr>
      <w:r>
        <w:rPr>
          <w:rFonts w:hint="eastAsia" w:ascii="宋体" w:hAnsi="宋体"/>
          <w:b/>
          <w:color w:val="auto"/>
          <w:szCs w:val="21"/>
          <w:highlight w:val="none"/>
          <w:lang w:val="en-US" w:eastAsia="zh-CN"/>
        </w:rPr>
        <w:t xml:space="preserve">注</w:t>
      </w:r>
      <w:r>
        <w:rPr>
          <w:rFonts w:hint="eastAsia" w:ascii="宋体" w:hAnsi="宋体" w:eastAsia="宋体" w:cs="Times New Roman"/>
          <w:b/>
          <w:color w:val="auto"/>
          <w:szCs w:val="21"/>
          <w:highlight w:val="none"/>
          <w:lang w:val="en-US" w:eastAsia="zh-CN"/>
        </w:rPr>
        <w:t xml:space="preserve">：每次支付均为甲方自收到乙方发票之日起10个工作日内付款。</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  合同生效、变更、暂停、解除与终止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6.1 生效</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本合同生效条件：</w:t>
      </w:r>
      <w:r>
        <w:rPr>
          <w:rFonts w:hint="eastAsia" w:ascii="宋体" w:hAnsi="宋体" w:cs="宋体"/>
          <w:color w:val="auto"/>
          <w:highlight w:val="none"/>
          <w:u w:val="single"/>
        </w:rPr>
        <w:t xml:space="preserve"> 双方签字盖章后生效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6.2 变更</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6.2.2 除不可抗力外，因非监理人原因导致本合同期限延长时，附加工作酬金按下列方法确定：</w:t>
      </w:r>
      <w:r>
        <w:rPr>
          <w:rFonts w:hint="eastAsia" w:ascii="宋体" w:hAnsi="宋体" w:cs="宋体"/>
          <w:color w:val="auto"/>
          <w:highlight w:val="none"/>
          <w:u w:val="single"/>
        </w:rPr>
        <w:t xml:space="preserve"> 附加工作酬金</w:t>
      </w:r>
      <w:r>
        <w:rPr>
          <w:rFonts w:hint="eastAsia" w:ascii="宋体" w:hAnsi="宋体" w:cs="宋体"/>
          <w:color w:val="auto"/>
          <w:highlight w:val="none"/>
          <w:u w:val="single"/>
          <w:lang w:val="en-US" w:eastAsia="zh-CN"/>
        </w:rPr>
        <w:t xml:space="preserve">=</w:t>
      </w:r>
      <w:r>
        <w:rPr>
          <w:rFonts w:hint="eastAsia" w:ascii="宋体" w:hAnsi="宋体" w:cs="宋体"/>
          <w:color w:val="auto"/>
          <w:highlight w:val="none"/>
          <w:u w:val="single"/>
        </w:rPr>
        <w:t xml:space="preserve">本合同期限延长时间（天）×正常工作酬金十协议书约定的监理与相关服务期限（天）</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6.2.3 附加工作酬金按下列方法确定：</w:t>
      </w:r>
      <w:r>
        <w:rPr>
          <w:rFonts w:hint="eastAsia" w:ascii="宋体" w:hAnsi="宋体" w:cs="宋体"/>
          <w:color w:val="auto"/>
          <w:highlight w:val="none"/>
          <w:u w:val="single"/>
        </w:rPr>
        <w:t xml:space="preserve">附加工作酬金</w:t>
      </w:r>
      <w:r>
        <w:rPr>
          <w:rFonts w:hint="eastAsia" w:ascii="宋体" w:hAnsi="宋体" w:cs="宋体"/>
          <w:color w:val="auto"/>
          <w:highlight w:val="none"/>
          <w:u w:val="single"/>
          <w:lang w:val="en-US" w:eastAsia="zh-CN"/>
        </w:rPr>
        <w:t xml:space="preserve">=</w:t>
      </w:r>
      <w:r>
        <w:rPr>
          <w:rFonts w:hint="eastAsia" w:ascii="宋体" w:hAnsi="宋体" w:cs="宋体"/>
          <w:color w:val="auto"/>
          <w:highlight w:val="none"/>
          <w:u w:val="single"/>
        </w:rPr>
        <w:t xml:space="preserve">善后工作及恢复服务的准备工作时间（天）×正常工作酬金士协议书约定的监理与相关服务期限（天）</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6.2.5 正常工作酬金增加额按下列方法确定：</w:t>
      </w:r>
      <w:r>
        <w:rPr>
          <w:rFonts w:hint="eastAsia" w:ascii="宋体" w:hAnsi="宋体" w:cs="宋体"/>
          <w:color w:val="auto"/>
          <w:highlight w:val="none"/>
          <w:u w:val="single"/>
        </w:rPr>
        <w:t xml:space="preserve">正常工作酬金增加额</w:t>
      </w:r>
      <w:r>
        <w:rPr>
          <w:rFonts w:hint="eastAsia" w:ascii="宋体" w:hAnsi="宋体" w:cs="宋体"/>
          <w:color w:val="auto"/>
          <w:highlight w:val="none"/>
          <w:u w:val="single"/>
          <w:lang w:val="en-US" w:eastAsia="zh-CN"/>
        </w:rPr>
        <w:t xml:space="preserve">=</w:t>
      </w:r>
      <w:r>
        <w:rPr>
          <w:rFonts w:hint="eastAsia" w:ascii="宋体" w:hAnsi="宋体" w:cs="宋体"/>
          <w:color w:val="auto"/>
          <w:highlight w:val="none"/>
          <w:u w:val="single"/>
        </w:rPr>
        <w:t xml:space="preserve">工程投资额或建筑安装工程费增加额×正常工作酬金于工程概算投资额（或建筑安装工程费）</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6.2.6 因工程规模、监理范围的变化导致监理人的正常工作量减少时，按减少工作量的比例从协议书约定的正常工作酬金中扣减相同比例的酬金。</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  争议解决</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7.2 调解</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本合同争议进行调解时， 可提交</w:t>
      </w:r>
      <w:r>
        <w:rPr>
          <w:rFonts w:hint="eastAsia" w:ascii="宋体" w:hAnsi="宋体" w:cs="宋体"/>
          <w:color w:val="auto"/>
          <w:highlight w:val="none"/>
          <w:u w:val="single"/>
        </w:rPr>
        <w:t xml:space="preserve"> 建设行政主管部门 </w:t>
      </w:r>
      <w:r>
        <w:rPr>
          <w:rFonts w:hint="eastAsia" w:ascii="宋体" w:hAnsi="宋体" w:cs="宋体"/>
          <w:color w:val="auto"/>
          <w:highlight w:val="none"/>
        </w:rPr>
        <w:t xml:space="preserve">进行调解。</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7.3 仲裁或诉讼</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合同争议的最终解决方式为下列第</w:t>
      </w:r>
      <w:r>
        <w:rPr>
          <w:rFonts w:hint="eastAsia" w:ascii="宋体" w:hAnsi="宋体" w:cs="宋体"/>
          <w:color w:val="auto"/>
          <w:highlight w:val="none"/>
          <w:u w:val="single"/>
        </w:rPr>
        <w:t xml:space="preserve">  (2)  </w:t>
      </w:r>
      <w:r>
        <w:rPr>
          <w:rFonts w:hint="eastAsia" w:ascii="宋体" w:hAnsi="宋体" w:cs="宋体"/>
          <w:color w:val="auto"/>
          <w:highlight w:val="none"/>
        </w:rPr>
        <w:t xml:space="preserve">种方式：</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提请</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仲裁委员会进行仲裁。</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(2)向</w:t>
      </w:r>
      <w:r>
        <w:rPr>
          <w:rFonts w:hint="eastAsia" w:ascii="宋体" w:hAnsi="宋体" w:cs="宋体"/>
          <w:color w:val="auto"/>
          <w:highlight w:val="none"/>
          <w:u w:val="single"/>
        </w:rPr>
        <w:t xml:space="preserve">工程所在地人民法院</w:t>
      </w:r>
      <w:r>
        <w:rPr>
          <w:rFonts w:hint="eastAsia" w:ascii="宋体" w:hAnsi="宋体" w:cs="宋体"/>
          <w:color w:val="auto"/>
          <w:highlight w:val="none"/>
        </w:rPr>
        <w:t xml:space="preserve">提起诉讼。</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  其他</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8.2 检测费用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委托人应在检测工作完成后</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天内支付检测费用。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8.3 咨询费用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委托人应在咨询工作完成后</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天内支付咨询费用。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8.4 奖励</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合理化建议的奖励金额按下列方法确定为：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奖励金额＝工程投资节省额×奖励金额的比率；</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奖励金额的比率为</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8.6 保密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委托人申明的保密事项和期限：</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监理人申明的保密事项和期限：</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第三方申明的保密事项和期限：</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8.8 著作权</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监理人在本合同履行期间及本合同终止后两年内出版涉及本工程的有关监理与相关服务的资料的限制条件：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9.</w:t>
      </w:r>
      <w:r>
        <w:rPr>
          <w:rFonts w:hint="eastAsia" w:ascii="宋体" w:hAnsi="宋体" w:eastAsia="宋体" w:cs="宋体"/>
          <w:color w:val="auto"/>
          <w:highlight w:val="none"/>
        </w:rPr>
        <w:t xml:space="preserve">补充条款</w:t>
      </w:r>
      <w:r/>
    </w:p>
    <w:p>
      <w:pPr>
        <w:numPr>
          <w:ilvl w:val="1"/>
          <w:numId w:val="0"/>
        </w:numPr>
        <w:ind w:left="0" w:firstLine="420"/>
        <w:jc w:val="left"/>
        <w:spacing w:line="360" w:lineRule="auto"/>
        <w:rPr>
          <w:rFonts w:hint="eastAsia" w:ascii="宋体" w:hAnsi="宋体" w:eastAsia="宋体" w:cs="宋体"/>
          <w:color w:val="auto"/>
          <w:highlight w:val="none"/>
          <w:u w:val="single"/>
        </w:rPr>
      </w:pPr>
      <w:r>
        <w:rPr>
          <w:rFonts w:ascii="宋体" w:hAnsi="宋体" w:eastAsia="宋体" w:cs="宋体"/>
          <w:color w:val="auto"/>
          <w:sz w:val="21"/>
          <w:szCs w:val="22"/>
          <w:highlight w:val="none"/>
          <w:u w:val="single"/>
          <w:lang w:val="en-US" w:eastAsia="zh-CN" w:bidi="ar-SA"/>
        </w:rPr>
        <w:t xml:space="preserve">9.1</w:t>
      </w:r>
      <w:r>
        <w:rPr>
          <w:rFonts w:hint="eastAsia" w:ascii="宋体" w:hAnsi="宋体" w:eastAsia="宋体" w:cs="宋体"/>
          <w:color w:val="auto"/>
          <w:highlight w:val="none"/>
          <w:u w:val="single"/>
        </w:rPr>
        <w:t xml:space="preserve">监理人进场监理人员必须与投标书中“主要监理人员”一致，并不得在其他工地兼职，表中任何人员的更换必须书面报告委托人，经委托人批准后方可更换，否则委托人有权请监理单位退场并终止履行合同，同时追究监理人的法律责任，由此造成的经济损失由监理人承担</w:t>
      </w:r>
      <w:r>
        <w:rPr>
          <w:rFonts w:hint="eastAsia" w:ascii="宋体" w:hAnsi="宋体" w:eastAsia="宋体" w:cs="宋体"/>
          <w:color w:val="auto"/>
          <w:highlight w:val="none"/>
          <w:u w:val="single"/>
          <w:lang w:eastAsia="zh-CN"/>
        </w:rPr>
        <w:t xml:space="preserve">；</w:t>
      </w:r>
      <w:r/>
    </w:p>
    <w:p>
      <w:pPr>
        <w:numPr>
          <w:ilvl w:val="1"/>
          <w:numId w:val="0"/>
        </w:numPr>
        <w:ind w:left="0"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9.2工程监理人员在进行工程施工监理时，监理工程师应当对监理工程实行全过程跟踪监理；对重要工序和关键部门实行旁站监理；</w:t>
      </w:r>
      <w:r>
        <w:rPr>
          <w:rFonts w:hint="eastAsia" w:ascii="宋体" w:hAnsi="宋体" w:eastAsia="宋体" w:cs="宋体"/>
          <w:color w:val="auto"/>
          <w:highlight w:val="none"/>
          <w:u w:val="single"/>
        </w:rPr>
        <w:t xml:space="preserve">工程监理人员必须按照施工工序，在施工单位自检基础上，对分项、分部工程</w:t>
      </w:r>
      <w:r>
        <w:rPr>
          <w:rFonts w:hint="eastAsia" w:ascii="宋体" w:hAnsi="宋体" w:eastAsia="宋体" w:cs="宋体"/>
          <w:color w:val="auto"/>
          <w:highlight w:val="none"/>
          <w:u w:val="single"/>
          <w:lang w:val="en-US" w:eastAsia="zh-CN"/>
        </w:rPr>
        <w:t xml:space="preserve">和各项隐蔽工程</w:t>
      </w:r>
      <w:r>
        <w:rPr>
          <w:rFonts w:hint="eastAsia" w:ascii="宋体" w:hAnsi="宋体" w:eastAsia="宋体" w:cs="宋体"/>
          <w:color w:val="auto"/>
          <w:highlight w:val="none"/>
          <w:u w:val="single"/>
        </w:rPr>
        <w:t xml:space="preserve">进行核查并验收签证</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监督承包人形成</w:t>
      </w:r>
      <w:r>
        <w:rPr>
          <w:rFonts w:hint="eastAsia" w:ascii="宋体" w:hAnsi="宋体" w:cs="宋体"/>
          <w:color w:val="auto"/>
          <w:szCs w:val="21"/>
          <w:highlight w:val="none"/>
          <w:u w:val="single"/>
          <w:lang w:val="en-US" w:eastAsia="zh-CN"/>
        </w:rPr>
        <w:t xml:space="preserve">书面资料及视频材料作为验收</w:t>
      </w:r>
      <w:r>
        <w:rPr>
          <w:rFonts w:hint="eastAsia" w:ascii="宋体" w:hAnsi="宋体" w:eastAsia="宋体" w:cs="宋体"/>
          <w:color w:val="auto"/>
          <w:highlight w:val="none"/>
          <w:u w:val="single"/>
          <w:lang w:val="en-US" w:eastAsia="zh-CN"/>
        </w:rPr>
        <w:t xml:space="preserve">结算依据；工程施工过程中，必须有相关专业的监理工程师在岗，并拍摄照片记录施工现场的施工质量情况。监理人须对隐蔽工程及现场施工进度拍摄照片存档，工程竣工后提交委托人工程照片电子光盘一张。委托人发现因监理人员跟踪或旁站不到位导致的返工费用由监理人自行承担，监理人派出的监理工程师应按委托人的要求进行工序检查并签字，委托人现场人员进行抽查，发现一处(一次)漏检或补签，在监理费中扣除违约金500元。上述情况达到</w:t>
      </w:r>
      <w:r>
        <w:rPr>
          <w:rFonts w:hint="eastAsia" w:ascii="宋体" w:hAnsi="宋体" w:cs="宋体"/>
          <w:color w:val="auto"/>
          <w:highlight w:val="none"/>
          <w:u w:val="single"/>
          <w:lang w:val="en-US" w:eastAsia="zh-CN"/>
        </w:rPr>
        <w:t xml:space="preserve">三次，</w:t>
      </w:r>
      <w:r>
        <w:rPr>
          <w:rFonts w:hint="eastAsia" w:ascii="宋体" w:hAnsi="宋体" w:cs="宋体"/>
          <w:color w:val="auto"/>
          <w:highlight w:val="none"/>
          <w:u w:val="single"/>
        </w:rPr>
        <w:t xml:space="preserve">委托人</w:t>
      </w:r>
      <w:r>
        <w:rPr>
          <w:rFonts w:hint="eastAsia" w:ascii="宋体" w:hAnsi="宋体" w:cs="宋体"/>
          <w:color w:val="auto"/>
          <w:highlight w:val="none"/>
          <w:u w:val="single"/>
          <w:lang w:val="en-US" w:eastAsia="zh-CN"/>
        </w:rPr>
        <w:t xml:space="preserve">有权要求监理人无条件更换</w:t>
      </w:r>
      <w:r>
        <w:rPr>
          <w:rFonts w:hint="eastAsia" w:ascii="宋体" w:hAnsi="宋体" w:cs="宋体"/>
          <w:color w:val="auto"/>
          <w:highlight w:val="none"/>
          <w:u w:val="single"/>
        </w:rPr>
        <w:t xml:space="preserve">总监</w:t>
      </w:r>
      <w:r>
        <w:rPr>
          <w:rFonts w:hint="eastAsia" w:ascii="宋体" w:hAnsi="宋体" w:cs="宋体"/>
          <w:color w:val="auto"/>
          <w:highlight w:val="none"/>
          <w:u w:val="single"/>
          <w:lang w:val="en-US" w:eastAsia="zh-CN"/>
        </w:rPr>
        <w:t xml:space="preserve">及相关监理人员，且有权要求监理人退场并</w:t>
      </w:r>
      <w:r>
        <w:rPr>
          <w:rFonts w:hint="eastAsia" w:ascii="宋体" w:hAnsi="宋体" w:eastAsia="宋体" w:cs="宋体"/>
          <w:color w:val="auto"/>
          <w:highlight w:val="none"/>
          <w:u w:val="single"/>
          <w:lang w:val="en-US" w:eastAsia="zh-CN"/>
        </w:rPr>
        <w:t xml:space="preserve">终止合同，由此产生的责任及损失由监理人自行承担；</w:t>
      </w:r>
      <w:r/>
    </w:p>
    <w:p>
      <w:pPr>
        <w:numPr>
          <w:ilvl w:val="1"/>
          <w:numId w:val="0"/>
        </w:numPr>
        <w:ind w:left="0"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9.3 监理人须审查承包人提出的材料和设备清单，对工程使用的原材料、半成品、构件、设备等在进场前进行检查把关，有权拒绝使用不符合合同要求和标准规定的材料、构件、设备。监理人在进场前未及时发现原材料、半成品、构件、设备等不符合要求及标准的，委托人发现将对监理人处以2000元/次罚款，如上述情况达到</w:t>
      </w:r>
      <w:r>
        <w:rPr>
          <w:rFonts w:hint="eastAsia" w:ascii="宋体" w:hAnsi="宋体" w:cs="宋体"/>
          <w:color w:val="auto"/>
          <w:highlight w:val="none"/>
          <w:u w:val="single"/>
          <w:lang w:val="en-US" w:eastAsia="zh-CN"/>
        </w:rPr>
        <w:t xml:space="preserve">三次，</w:t>
      </w:r>
      <w:r>
        <w:rPr>
          <w:rFonts w:hint="eastAsia" w:ascii="宋体" w:hAnsi="宋体" w:cs="宋体"/>
          <w:color w:val="auto"/>
          <w:highlight w:val="none"/>
          <w:u w:val="single"/>
        </w:rPr>
        <w:t xml:space="preserve">委托人</w:t>
      </w:r>
      <w:r>
        <w:rPr>
          <w:rFonts w:hint="eastAsia" w:ascii="宋体" w:hAnsi="宋体" w:cs="宋体"/>
          <w:color w:val="auto"/>
          <w:highlight w:val="none"/>
          <w:u w:val="single"/>
          <w:lang w:val="en-US" w:eastAsia="zh-CN"/>
        </w:rPr>
        <w:t xml:space="preserve">有权要求监理人退场并</w:t>
      </w:r>
      <w:r>
        <w:rPr>
          <w:rFonts w:hint="eastAsia" w:ascii="宋体" w:hAnsi="宋体" w:eastAsia="宋体" w:cs="宋体"/>
          <w:color w:val="auto"/>
          <w:highlight w:val="none"/>
          <w:u w:val="single"/>
          <w:lang w:val="en-US" w:eastAsia="zh-CN"/>
        </w:rPr>
        <w:t xml:space="preserve">终止合同，由此产生的责任及损失由监理人自行承担；</w:t>
      </w:r>
      <w:r/>
    </w:p>
    <w:p>
      <w:pPr>
        <w:numPr>
          <w:ilvl w:val="1"/>
          <w:numId w:val="0"/>
        </w:numPr>
        <w:ind w:left="0"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9.4监理人须每周向委托人上报监理周报和周例会纪要，每月25日之前上报监理月报，报表内容和格式必须符合委托人的统一要求，漏报一次在监理费中扣除违约金500元；</w:t>
      </w:r>
      <w:r/>
    </w:p>
    <w:p>
      <w:pPr>
        <w:numPr>
          <w:ilvl w:val="1"/>
          <w:numId w:val="0"/>
        </w:numPr>
        <w:ind w:left="0" w:firstLine="420"/>
        <w:jc w:val="left"/>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9.5监理人监理工程师应对图纸到达熟知程度，委托人将不定期对监理工程师进行图纸业务考核，考核不合格者，监理人应向甲方支付违约金500元；</w:t>
      </w:r>
      <w:r/>
    </w:p>
    <w:p>
      <w:pPr>
        <w:numPr>
          <w:ilvl w:val="1"/>
          <w:numId w:val="0"/>
        </w:numPr>
        <w:ind w:left="0"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9.6 在工程监理过程中，多方反应控制不力，协调能力较差，项目监理不能正常有效地开展工作，委托人有权要求监理人更换有关人员，如还不能有效实行三大控制，则委托人有权终止履行合同，更换监理队伍，由此所造成的损失，由监理人自负；</w:t>
      </w:r>
      <w:r/>
    </w:p>
    <w:p>
      <w:pPr>
        <w:numPr>
          <w:ilvl w:val="1"/>
          <w:numId w:val="0"/>
        </w:numPr>
        <w:ind w:left="0" w:firstLine="420"/>
        <w:jc w:val="left"/>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9.7 本工程监理不得以任何名义转包，如被委托人发现有转包等违法行为时，委托人有权终止合同，且监理人须向委托人支付监理总额10%的违约金；</w:t>
      </w:r>
      <w:r/>
    </w:p>
    <w:p>
      <w:pPr>
        <w:numPr>
          <w:ilvl w:val="1"/>
          <w:numId w:val="0"/>
        </w:numPr>
        <w:ind w:left="0"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9.8 监理人要加强对现场的质量控制，监理工程师发现质量问题后应及时下发监理通知单，而监理人没有对该问题下发监理通知单，发现一项在监理费中扣除违约金500元。如果委托人现场相关人员在检查时发现因监理监视不力造成的质量和安全隐患问题一处(一次)，在监理费中扣除违约金500元-1000元。如因监理人工作过失造成工程质量问题或事故，监理人应按有关法律法规承担相应的赔偿责任；</w:t>
      </w:r>
      <w:r/>
    </w:p>
    <w:p>
      <w:pPr>
        <w:numPr>
          <w:ilvl w:val="1"/>
          <w:numId w:val="0"/>
        </w:numPr>
        <w:ind w:left="0"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9.9 监理人对现场文明施工加强监管，如因渣土外运导致城市道路污染，监理人承担连带责任，并处以2000元/次罚款。</w:t>
      </w:r>
      <w:r/>
    </w:p>
    <w:p>
      <w:pPr>
        <w:numPr>
          <w:ilvl w:val="0"/>
          <w:numId w:val="0"/>
        </w:numPr>
        <w:ind w:left="0" w:firstLine="0"/>
        <w:jc w:val="center"/>
        <w:keepLines w:val="0"/>
        <w:keepNext w:val="0"/>
        <w:pageBreakBefore w:val="0"/>
        <w:spacing w:line="360" w:lineRule="auto"/>
        <w:widowControl w:val="off"/>
        <w:rPr>
          <w:rFonts w:ascii="黑体" w:hAnsi="黑体" w:eastAsia="黑体" w:cs="黑体"/>
          <w:color w:val="auto"/>
          <w:spacing w:val="10"/>
          <w:sz w:val="31"/>
          <w:szCs w:val="31"/>
          <w:highlight w:val="none"/>
        </w:rPr>
      </w:pPr>
      <w:r>
        <w:rPr>
          <w:rFonts w:ascii="宋体" w:hAnsi="宋体" w:cs="宋体"/>
          <w:color w:val="auto"/>
          <w:highlight w:val="none"/>
        </w:rPr>
        <w:br w:type="page" w:clear="all"/>
      </w:r>
      <w:r>
        <w:rPr>
          <w:rFonts w:hint="eastAsia" w:ascii="黑体" w:hAnsi="黑体" w:eastAsia="黑体" w:cs="黑体"/>
          <w:color w:val="auto"/>
          <w:spacing w:val="10"/>
          <w:sz w:val="31"/>
          <w:szCs w:val="31"/>
          <w:highlight w:val="none"/>
        </w:rPr>
        <w:t xml:space="preserve">扬州市工程建设项目监理廉政合同</w:t>
      </w:r>
      <w:r/>
    </w:p>
    <w:p>
      <w:pPr>
        <w:jc w:val="left"/>
        <w:spacing w:line="360" w:lineRule="auto"/>
        <w:rPr>
          <w:rFonts w:ascii="宋体" w:hAnsi="宋体" w:cs="宋体"/>
          <w:color w:val="auto"/>
          <w:highlight w:val="none"/>
        </w:rPr>
      </w:pPr>
      <w:r>
        <w:rPr>
          <w:rFonts w:ascii="宋体" w:hAnsi="宋体" w:cs="宋体"/>
          <w:color w:val="auto"/>
          <w:highlight w:val="none"/>
        </w:rPr>
      </w:r>
      <w:r/>
    </w:p>
    <w:p>
      <w:pPr>
        <w:ind w:firstLine="420"/>
        <w:jc w:val="left"/>
        <w:spacing w:line="360" w:lineRule="auto"/>
        <w:rPr>
          <w:rFonts w:ascii="宋体" w:hAnsi="宋体" w:eastAsia="宋体" w:cs="宋体"/>
          <w:color w:val="auto"/>
          <w:highlight w:val="none"/>
          <w:u w:val="single"/>
        </w:rPr>
      </w:pPr>
      <w:r>
        <w:rPr>
          <w:rFonts w:hint="eastAsia" w:ascii="宋体" w:hAnsi="宋体" w:cs="宋体"/>
          <w:color w:val="auto"/>
          <w:highlight w:val="none"/>
        </w:rPr>
        <w:t xml:space="preserve">工程项目名称：</w:t>
      </w:r>
      <w:r>
        <w:rPr>
          <w:rFonts w:hint="eastAsia" w:ascii="宋体" w:hAnsi="宋体" w:cs="宋体"/>
          <w:color w:val="auto"/>
          <w:highlight w:val="none"/>
          <w:u w:val="single"/>
          <w:lang w:val="en-US" w:eastAsia="zh-CN"/>
        </w:rPr>
        <w:t xml:space="preserve">南水北调高水河以西排水管网改造工程监理项目</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工 程</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地 址：</w:t>
      </w:r>
      <w:r>
        <w:rPr>
          <w:rFonts w:hint="eastAsia" w:ascii="宋体" w:hAnsi="宋体" w:cs="宋体"/>
          <w:color w:val="auto"/>
          <w:highlight w:val="none"/>
          <w:u w:val="single"/>
          <w:lang w:val="en-US" w:eastAsia="zh-CN"/>
        </w:rPr>
        <w:t xml:space="preserve">扬州市江都区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建设单位(甲方)：</w:t>
      </w:r>
      <w:r>
        <w:rPr>
          <w:rFonts w:hint="eastAsia" w:ascii="宋体" w:hAnsi="宋体" w:cs="宋体"/>
          <w:color w:val="auto"/>
          <w:highlight w:val="none"/>
          <w:u w:val="single"/>
          <w:lang w:val="en-US" w:eastAsia="zh-CN"/>
        </w:rPr>
        <w:t xml:space="preserve">扬州市江都区住房和城乡建设局</w:t>
      </w:r>
      <w:r/>
    </w:p>
    <w:p>
      <w:pPr>
        <w:ind w:firstLine="420"/>
        <w:jc w:val="left"/>
        <w:spacing w:line="360" w:lineRule="auto"/>
        <w:rPr>
          <w:rFonts w:hint="default" w:ascii="宋体" w:hAnsi="宋体" w:cs="宋体"/>
          <w:color w:val="auto"/>
          <w:highlight w:val="none"/>
          <w:lang w:val="en-US"/>
        </w:rPr>
      </w:pPr>
      <w:r>
        <w:rPr>
          <w:rFonts w:hint="eastAsia" w:ascii="宋体" w:hAnsi="宋体" w:cs="宋体"/>
          <w:color w:val="auto"/>
          <w:highlight w:val="none"/>
        </w:rPr>
        <w:t xml:space="preserve">监理单位(乙方)：</w:t>
      </w:r>
      <w:r>
        <w:rPr>
          <w:rFonts w:hint="eastAsia" w:ascii="宋体" w:hAnsi="宋体" w:cs="宋体"/>
          <w:color w:val="auto"/>
          <w:highlight w:val="none"/>
          <w:u w:val="single"/>
          <w:lang w:val="en-US" w:eastAsia="zh-CN"/>
        </w:rPr>
        <w:t xml:space="preserve">                            </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为加强工程建设中的廉政建设，规范工程建设项目监理委托和被委托双方的各项活动，防止发生各种谋取不正当利益的违法违纪行为，保护国家、集体和当事人的合法权益，根据国家有关工程建设的法律法规和廉政建设责任制规定， 特订立本廉政合同。</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第一条 甲乙双方的责任</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(一) 甲、乙双方应加强对本方人员的廉政监督，健立和健全廉政制度。</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(二) 甲、乙双方有对本方人员开展廉政告知、廉政教育和职业道德教育的义务。</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(三) 甲、乙双方应严格遵守国家关于市场准入、项目招标投标、工程建设、工程监理和市场活动等有关法律、法规，相关政策， 以及廉政建设的各项规定。</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(四) 甲、乙双方严格执行建设工程项目监理合同文件，自觉按合同办事。</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(五) 甲、乙双方业务活动必须坚持公开、公平、公正、诚信、透明的原则(除法律法规另有规定者外)，不得为获取不正当的利益，损害国家、集体和利益，不得违反工程建设管理、建设监理的规章制度。</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(六) 甲、乙双方发现对方在业务活动中违规、违纪、违法行为的，应及时提醒对方，情节严重的， 应向其上级主管部门或纪检监察、司法等有关机关举报。</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第二条 甲方在廉政建设方面的责任</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(一) 不准向乙方和相关单位索要或接受回扣、礼金、有价证券、贵重物品和好处费、感谢费等。</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(二) 不准向乙方和相关单位报销任何应由甲方或个人支付的费用。</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(三) 不准要求、暗示和接受乙方和相关单位为个人装修住房、婚丧嫁娶、配偶子女的工作安排以及出国(境)、旅游等提供方便。</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(四) 不准发出或参加有可能影响公正执行公务的乙方和相关单位的宴请和健身、娱乐等活动。</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(五) 服从市场管理， 并遵从有关规定，不提不合理的要求和条件；</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(六) 不准预定框框、照顾关系，造成不公平竟争；</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(七) 不准向评委施加任何倾向性影响；</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(八) 不准向乙方和相关单位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第三条 乙方廉政建设方面的责任</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(一) 不准以任何理由向甲方、相关单位及其工作人员赠送礼金、有价证券、贵重物品等。</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(二) 不准以任何理由为甲方和相关单位报销应由对方或个人支付的费用。</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(三) 不准接受或暗示为甲方、相关单位或个人装修住房、婚丧嫁娶、配偶子女的工作安排以及出国(境)、旅游等提供方便。</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(四) 不准违反合同规定而使用甲方、相关单位提供的通信、交通工具和高档办公用品。</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(五) 不准以任何理由为甲方、相关单位或个人组织有可能影响公正执行公务的宴请、健身、娱乐等活动。</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(六) 不准通过关系对甲方、相关单位或个人施加影响；</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第四条 违约责任</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(一) 甲方若有违反本合同的， 视情节轻重，每次给予1至10万元的违约罚款； 若严重违反本合同， 按照管理权限，依据有关法律法规和规定，给予党纪、政纪处分或组织处理；涉嫌犯罪的，移交司法机关追究刑事责任；给乙方单位造成经济损失的，应子以赔偿。</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(二) 乙方若有违反本合同的， 视情节轻重，每次给予工程款的</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至 </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的违约罚款； 若严重违反本责任书，在 1-3 年内不得进入扬州市工程建设市场；涉嫌犯罪的，移交司法机关追究刑事责任； 给甲方单位造成经济损失的，应予以赔偿。</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第五条 本合同作为工程监理合同的附件，与工程监理合同具有同等法律效力。经双方签署后立即生效。</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第六条 本合同的有效期为双方签署之日 起至该工程项目竣工验收合格时止。</w:t>
      </w:r>
      <w:r/>
    </w:p>
    <w:p>
      <w:pPr>
        <w:jc w:val="left"/>
        <w:spacing w:line="360" w:lineRule="auto"/>
        <w:rPr>
          <w:rFonts w:ascii="宋体" w:hAnsi="宋体" w:cs="宋体"/>
          <w:color w:val="auto"/>
          <w:highlight w:val="none"/>
        </w:rPr>
      </w:pPr>
      <w:r>
        <w:rPr>
          <w:rFonts w:ascii="宋体" w:hAnsi="宋体" w:cs="宋体"/>
          <w:color w:val="auto"/>
          <w:highlight w:val="none"/>
        </w:rPr>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甲方单位：(盖章)</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乙方单位：(盖章)</w:t>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法定代表人：</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法定代表人：</w:t>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地址：</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地址：</w:t>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电话：</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电话：</w:t>
      </w:r>
      <w:r/>
    </w:p>
    <w:p>
      <w:pPr>
        <w:ind w:firstLine="420"/>
        <w:keepLines w:val="0"/>
        <w:keepNext w:val="0"/>
        <w:pageBreakBefore w:val="0"/>
        <w:spacing w:before="120" w:after="120" w:line="360" w:lineRule="auto"/>
        <w:widowControl w:val="off"/>
        <w:rPr>
          <w:rFonts w:hint="eastAsia" w:ascii="宋体" w:hAnsi="宋体" w:eastAsia="宋体" w:cs="宋体"/>
          <w:color w:val="auto"/>
          <w:highlight w:val="none"/>
        </w:rPr>
      </w:pPr>
      <w:r>
        <w:rPr>
          <w:rFonts w:hint="eastAsia" w:ascii="宋体" w:hAnsi="宋体" w:cs="宋体"/>
          <w:color w:val="auto"/>
          <w:highlight w:val="none"/>
        </w:rPr>
        <w:t xml:space="preserve">年  月  日</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年  月  日</w:t>
      </w:r>
      <w:r/>
    </w:p>
    <w:p>
      <w:pPr>
        <w:rPr>
          <w:rFonts w:hint="eastAsia"/>
          <w:color w:val="auto"/>
          <w:highlight w:val="none"/>
        </w:rPr>
      </w:pPr>
      <w:r>
        <w:rPr>
          <w:rFonts w:hint="eastAsia"/>
          <w:color w:val="auto"/>
          <w:highlight w:val="none"/>
        </w:rPr>
      </w:r>
      <w:r/>
    </w:p>
    <w:p>
      <w:pPr>
        <w:rPr>
          <w:rFonts w:hint="eastAsia" w:ascii="宋体" w:hAnsi="宋体"/>
          <w:color w:val="auto"/>
          <w:sz w:val="36"/>
          <w:highlight w:val="none"/>
        </w:rPr>
      </w:pPr>
      <w:r/>
      <w:bookmarkStart w:id="27" w:name="_Hlt16619369"/>
      <w:r/>
      <w:bookmarkEnd w:id="27"/>
      <w:r>
        <w:rPr>
          <w:rFonts w:hint="eastAsia" w:ascii="宋体" w:hAnsi="宋体"/>
          <w:color w:val="auto"/>
          <w:sz w:val="36"/>
          <w:highlight w:val="none"/>
        </w:rPr>
        <w:br w:type="page" w:clear="all"/>
      </w:r>
      <w:r/>
    </w:p>
    <w:p>
      <w:pPr>
        <w:pStyle w:val="797"/>
        <w:numPr>
          <w:ilvl w:val="0"/>
          <w:numId w:val="8"/>
        </w:numPr>
        <w:jc w:val="center"/>
        <w:rPr>
          <w:rFonts w:hint="eastAsia" w:ascii="宋体" w:hAnsi="宋体"/>
          <w:color w:val="auto"/>
          <w:sz w:val="36"/>
          <w:highlight w:val="none"/>
        </w:rPr>
      </w:pPr>
      <w:r>
        <w:rPr>
          <w:rFonts w:hint="eastAsia" w:ascii="宋体" w:hAnsi="宋体"/>
          <w:color w:val="auto"/>
          <w:sz w:val="36"/>
          <w:highlight w:val="none"/>
        </w:rPr>
        <w:t xml:space="preserve">项目需求</w:t>
      </w:r>
      <w:r/>
    </w:p>
    <w:p>
      <w:pPr>
        <w:ind w:firstLine="422"/>
        <w:spacing w:line="360" w:lineRule="auto"/>
        <w:rPr>
          <w:rFonts w:ascii="宋体" w:hAnsi="宋体" w:eastAsia="宋体" w:cs="仿宋"/>
          <w:b/>
          <w:bCs/>
          <w:color w:val="auto"/>
          <w:szCs w:val="21"/>
          <w:highlight w:val="none"/>
        </w:rPr>
      </w:pPr>
      <w:r/>
      <w:bookmarkStart w:id="28" w:name="_Toc497133123"/>
      <w:r>
        <w:rPr>
          <w:rFonts w:hint="eastAsia" w:ascii="宋体" w:hAnsi="宋体" w:eastAsia="宋体" w:cs="仿宋"/>
          <w:b/>
          <w:bCs/>
          <w:color w:val="auto"/>
          <w:szCs w:val="21"/>
          <w:highlight w:val="none"/>
        </w:rPr>
        <w:t xml:space="preserve">其他要求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color w:val="auto"/>
          <w:sz w:val="21"/>
          <w:szCs w:val="21"/>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sz w:val="21"/>
          <w:szCs w:val="21"/>
          <w:highlight w:val="none"/>
        </w:rPr>
        <w:t xml:space="preserve">。其他条件相同情况下，应当优先采购节能产品、环境标志产品。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项目所属行业：其他未列明行业</w:t>
      </w:r>
      <w:r/>
    </w:p>
    <w:p>
      <w:pPr>
        <w:jc w:val="left"/>
        <w:widowControl/>
        <w:rPr>
          <w:rFonts w:ascii="宋体" w:hAnsi="宋体" w:eastAsia="宋体" w:cs="宋体"/>
          <w:color w:val="auto"/>
          <w:sz w:val="20"/>
          <w:szCs w:val="20"/>
          <w:highlight w:val="none"/>
        </w:rPr>
      </w:pPr>
      <w:r>
        <w:rPr>
          <w:rFonts w:ascii="宋体" w:hAnsi="宋体" w:eastAsia="宋体" w:cs="宋体"/>
          <w:color w:val="auto"/>
          <w:sz w:val="20"/>
          <w:szCs w:val="20"/>
          <w:highlight w:val="none"/>
        </w:rPr>
      </w:r>
      <w:r/>
    </w:p>
    <w:p>
      <w:pPr>
        <w:numPr>
          <w:ilvl w:val="0"/>
          <w:numId w:val="0"/>
        </w:numPr>
        <w:ind w:firstLine="422"/>
        <w:jc w:val="both"/>
        <w:keepLines w:val="0"/>
        <w:keepNext w:val="0"/>
        <w:pageBreakBefore w:val="0"/>
        <w:spacing w:line="360" w:lineRule="auto"/>
        <w:widowControl w:val="off"/>
        <w:rPr>
          <w:rFonts w:ascii="宋体" w:hAnsi="宋体"/>
          <w:b/>
          <w:color w:val="auto"/>
          <w:highlight w:val="none"/>
        </w:rPr>
      </w:pPr>
      <w:r>
        <w:rPr>
          <w:rFonts w:hint="eastAsia" w:ascii="宋体" w:hAnsi="宋体"/>
          <w:b/>
          <w:color w:val="auto"/>
          <w:sz w:val="21"/>
          <w:szCs w:val="22"/>
          <w:highlight w:val="none"/>
          <w:lang w:val="en-US" w:eastAsia="zh-CN" w:bidi="ar-SA"/>
        </w:rPr>
        <w:t xml:space="preserve">一、</w:t>
      </w:r>
      <w:r>
        <w:rPr>
          <w:rFonts w:hint="eastAsia" w:ascii="宋体" w:hAnsi="宋体"/>
          <w:b/>
          <w:color w:val="auto"/>
          <w:highlight w:val="none"/>
        </w:rPr>
        <w:t xml:space="preserve">项目概况</w:t>
      </w:r>
      <w:r/>
    </w:p>
    <w:p>
      <w:pPr>
        <w:ind w:firstLine="420"/>
        <w:jc w:val="both"/>
        <w:keepLines w:val="0"/>
        <w:keepNext w:val="0"/>
        <w:pageBreakBefore w:val="0"/>
        <w:spacing w:line="360" w:lineRule="auto"/>
        <w:widowControl w:val="off"/>
        <w:tabs>
          <w:tab w:val="left" w:pos="0" w:leader="none"/>
        </w:tabs>
        <w:rPr>
          <w:rFonts w:hint="default" w:ascii="宋体" w:hAnsi="宋体"/>
          <w:color w:val="auto"/>
          <w:szCs w:val="21"/>
          <w:highlight w:val="none"/>
          <w:lang w:val="en-US" w:eastAsia="zh-CN"/>
        </w:rPr>
      </w:pPr>
      <w:r>
        <w:rPr>
          <w:rFonts w:hint="eastAsia" w:ascii="宋体" w:hAnsi="宋体"/>
          <w:color w:val="auto"/>
          <w:szCs w:val="21"/>
          <w:highlight w:val="none"/>
        </w:rPr>
        <w:t xml:space="preserve">1、工程规模</w:t>
      </w:r>
      <w:r>
        <w:rPr>
          <w:rFonts w:hint="eastAsia" w:ascii="宋体" w:hAnsi="宋体"/>
          <w:color w:val="auto"/>
          <w:szCs w:val="21"/>
          <w:highlight w:val="none"/>
          <w:lang w:eastAsia="zh-CN"/>
        </w:rPr>
        <w:t xml:space="preserve">：修复完善片区内市政排水管道，新建排水管道8公里(DN200～DN1200 雨水管道4公里、DN300～DN600污水管道4公里),维修排水管道7公里(DN200～DN1200雨水管道5公里、DN</w:t>
      </w:r>
      <w:r>
        <w:rPr>
          <w:rFonts w:hint="eastAsia" w:ascii="宋体" w:hAnsi="宋体"/>
          <w:color w:val="auto"/>
          <w:szCs w:val="21"/>
          <w:highlight w:val="none"/>
          <w:lang w:eastAsia="zh-CN"/>
        </w:rPr>
        <w:t xml:space="preserve">200～DN600污水管道2公里)；完善片区内7个居住小区、12个公共建筑、12个城中村庄台及工业企 业生活排水管道，实施管道雨污分流制改造及混错接改造，包括改造排水管道38公里(DN300～DN500雨水管道5公里、DN200～DN400污水管道33公里),新建日处理规模2～10吨小型污水处理设施10套；清淤疏浚片区内文明河、迎宾河、庄台河、小引江河及迎丰河等5条河道，长度共4.1公里，清淤土方共79260立方米。同步实施建设检查井，改造跨文明河 桥涵，清淤修复工农路与文明河交叉口箱涵、工农路箱涵等工程。</w:t>
      </w:r>
      <w:r/>
    </w:p>
    <w:p>
      <w:pPr>
        <w:ind w:firstLine="420"/>
        <w:jc w:val="both"/>
        <w:keepLines w:val="0"/>
        <w:keepNext w:val="0"/>
        <w:pageBreakBefore w:val="0"/>
        <w:spacing w:line="360" w:lineRule="auto"/>
        <w:widowControl w:val="off"/>
        <w:tabs>
          <w:tab w:val="left" w:pos="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2、招标范围：</w:t>
      </w:r>
      <w:r>
        <w:rPr>
          <w:rFonts w:hint="eastAsia" w:ascii="宋体" w:hAnsi="宋体" w:eastAsia="宋体" w:cs="Times New Roman"/>
          <w:color w:val="auto"/>
          <w:szCs w:val="21"/>
          <w:highlight w:val="none"/>
          <w:lang w:eastAsia="zh-CN"/>
        </w:rPr>
        <w:t xml:space="preserve">南水北调高水河以西排水管网改造工程</w:t>
      </w:r>
      <w:r>
        <w:rPr>
          <w:rFonts w:hint="eastAsia" w:ascii="宋体" w:hAnsi="宋体" w:eastAsia="宋体" w:cs="Times New Roman"/>
          <w:color w:val="auto"/>
          <w:szCs w:val="21"/>
          <w:highlight w:val="none"/>
          <w:lang w:val="en-US" w:eastAsia="zh-CN"/>
        </w:rPr>
        <w:t xml:space="preserve">设计图纸与工程量清单范围内的项目施工全过程及保修阶段监理</w:t>
      </w:r>
      <w:r>
        <w:rPr>
          <w:rFonts w:hint="eastAsia" w:ascii="宋体" w:hAnsi="宋体" w:eastAsia="宋体" w:cs="Times New Roman"/>
          <w:color w:val="auto"/>
          <w:szCs w:val="21"/>
          <w:highlight w:val="none"/>
        </w:rPr>
        <w:t xml:space="preserve">。 </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eastAsia="宋体" w:cs="Times New Roman"/>
          <w:color w:val="auto"/>
          <w:szCs w:val="21"/>
          <w:highlight w:val="none"/>
        </w:rPr>
        <w:t xml:space="preserve">、服务期限：同施工工期及缺陷责任期（具体开工时间以采购人通知为准）</w:t>
      </w:r>
      <w:r>
        <w:rPr>
          <w:rFonts w:hint="eastAsia" w:ascii="宋体" w:hAnsi="宋体" w:eastAsia="宋体" w:cs="Times New Roman"/>
          <w:color w:val="auto"/>
          <w:szCs w:val="21"/>
          <w:highlight w:val="none"/>
          <w:lang w:eastAsia="zh-CN"/>
        </w:rPr>
        <w:t xml:space="preserve">。</w:t>
      </w:r>
      <w:r/>
    </w:p>
    <w:p>
      <w:pPr>
        <w:ind w:firstLine="422"/>
        <w:jc w:val="both"/>
        <w:keepLines w:val="0"/>
        <w:keepNext w:val="0"/>
        <w:pageBreakBefore w:val="0"/>
        <w:spacing w:line="360" w:lineRule="auto"/>
        <w:widowControl w:val="off"/>
        <w:rPr>
          <w:rFonts w:hint="eastAsia"/>
          <w:b/>
          <w:color w:val="auto"/>
          <w:highlight w:val="none"/>
        </w:rPr>
      </w:pPr>
      <w:r>
        <w:rPr>
          <w:rFonts w:hint="eastAsia"/>
          <w:b/>
          <w:color w:val="auto"/>
          <w:highlight w:val="none"/>
        </w:rPr>
        <w:t xml:space="preserve">二、</w:t>
      </w:r>
      <w:r>
        <w:rPr>
          <w:b/>
          <w:color w:val="auto"/>
          <w:highlight w:val="none"/>
        </w:rPr>
        <w:t xml:space="preserve">人员配置</w:t>
      </w:r>
      <w:r/>
    </w:p>
    <w:p>
      <w:pPr>
        <w:ind w:firstLine="420"/>
        <w:jc w:val="both"/>
        <w:keepLines w:val="0"/>
        <w:keepNext w:val="0"/>
        <w:pageBreakBefore w:val="0"/>
        <w:spacing w:line="360" w:lineRule="auto"/>
        <w:widowControl w:val="off"/>
        <w:tabs>
          <w:tab w:val="left" w:pos="0" w:leader="none"/>
        </w:tabs>
        <w:rPr>
          <w:rFonts w:ascii="宋体" w:hAnsi="宋体"/>
          <w:color w:val="auto"/>
          <w:szCs w:val="21"/>
          <w:highlight w:val="none"/>
        </w:rPr>
      </w:pPr>
      <w:r>
        <w:rPr>
          <w:rFonts w:ascii="宋体" w:hAnsi="宋体"/>
          <w:color w:val="auto"/>
          <w:szCs w:val="21"/>
          <w:highlight w:val="none"/>
        </w:rPr>
        <w:t xml:space="preserve">现场监理人员数量配备最低标准：总监理工程师1人；专业监理工程师</w:t>
      </w:r>
      <w:r>
        <w:rPr>
          <w:rFonts w:hint="eastAsia" w:ascii="宋体" w:hAnsi="宋体"/>
          <w:color w:val="auto"/>
          <w:szCs w:val="21"/>
          <w:highlight w:val="none"/>
          <w:lang w:val="en-US" w:eastAsia="zh-CN"/>
        </w:rPr>
        <w:t xml:space="preserve">1</w:t>
      </w:r>
      <w:r>
        <w:rPr>
          <w:rFonts w:ascii="宋体" w:hAnsi="宋体"/>
          <w:color w:val="auto"/>
          <w:szCs w:val="21"/>
          <w:highlight w:val="none"/>
        </w:rPr>
        <w:t xml:space="preserve">人；监理员</w:t>
      </w:r>
      <w:r>
        <w:rPr>
          <w:rFonts w:hint="eastAsia" w:ascii="宋体" w:hAnsi="宋体"/>
          <w:color w:val="auto"/>
          <w:szCs w:val="21"/>
          <w:highlight w:val="none"/>
          <w:lang w:val="en-US" w:eastAsia="zh-CN"/>
        </w:rPr>
        <w:t xml:space="preserve">2</w:t>
      </w:r>
      <w:r>
        <w:rPr>
          <w:rFonts w:ascii="宋体" w:hAnsi="宋体"/>
          <w:color w:val="auto"/>
          <w:szCs w:val="21"/>
          <w:highlight w:val="none"/>
        </w:rPr>
        <w:t xml:space="preserve">人；合计</w:t>
      </w:r>
      <w:r>
        <w:rPr>
          <w:rFonts w:hint="eastAsia" w:ascii="宋体" w:hAnsi="宋体"/>
          <w:color w:val="auto"/>
          <w:szCs w:val="21"/>
          <w:highlight w:val="none"/>
          <w:lang w:val="en-US" w:eastAsia="zh-CN"/>
        </w:rPr>
        <w:t xml:space="preserve">4</w:t>
      </w:r>
      <w:r>
        <w:rPr>
          <w:rFonts w:ascii="宋体" w:hAnsi="宋体"/>
          <w:color w:val="auto"/>
          <w:szCs w:val="21"/>
          <w:highlight w:val="none"/>
        </w:rPr>
        <w:t xml:space="preserve">人。</w:t>
      </w:r>
      <w:r>
        <w:rPr>
          <w:rFonts w:ascii="宋体" w:hAnsi="宋体"/>
          <w:color w:val="auto"/>
          <w:szCs w:val="21"/>
          <w:highlight w:val="none"/>
        </w:rPr>
        <w:t xml:space="preserve">拟派监理人员须符合省住房城乡建设厅关于印发《江苏省建设工程项目监理机构主要管理人员配备标准》公告（（2017）第35号）及相关文件规定。</w:t>
      </w:r>
      <w:r/>
    </w:p>
    <w:p>
      <w:pPr>
        <w:ind w:firstLine="422"/>
        <w:jc w:val="both"/>
        <w:keepLines w:val="0"/>
        <w:keepNext w:val="0"/>
        <w:pageBreakBefore w:val="0"/>
        <w:spacing w:line="360" w:lineRule="auto"/>
        <w:widowControl w:val="off"/>
        <w:rPr>
          <w:rStyle w:val="1198"/>
          <w:b/>
          <w:color w:val="auto"/>
          <w:highlight w:val="none"/>
        </w:rPr>
      </w:pPr>
      <w:r>
        <w:rPr>
          <w:rStyle w:val="1198"/>
          <w:b/>
          <w:color w:val="auto"/>
          <w:highlight w:val="none"/>
        </w:rPr>
        <w:t xml:space="preserve">三、监理服务的主要内容</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成交供应商</w:t>
      </w:r>
      <w:r>
        <w:rPr>
          <w:rFonts w:ascii="宋体" w:hAnsi="宋体"/>
          <w:color w:val="auto"/>
          <w:szCs w:val="21"/>
          <w:highlight w:val="none"/>
        </w:rPr>
        <w:t xml:space="preserve">应按照采购人要求提供及不限于本项目的监理服务，包括以下内容：</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（1）监理单位进场监理人员必须与投标书中“主要监理人员”一致，不得自行更换，不得减少。否则业主有权请监理单位退场并终止合同，同时追究监理单位的法律责任，由此造成的经济损失由监理单位承担。</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（2）本工程不得以任何名义转包和分包。如被业主发现有违反上述行为时，业主有权终止合同，并追究监理单位法律责任。</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（3）协助业主审核施工图的设计和概(预)算,参与主持组织图纸会审,做好记录,写出会审纪要。</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（4）参与业主与承包商签定施工承包合同,审核施工进度计划，并在实施过程中检查、督促承包商严格按合同和施工规范、工程技术标准、设计要求进行施工，监督承包商现场施工管理。</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（5）协助业主做好开工前准备，审批开工报告，经业主同意下达开工令。</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（6）审批施工组织设计，审查和检查施工技术措施、质量保证体系及安全防护措施，提出合理的整改意见和建议。</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（7）审查承包商采购清单，检查工程使用材料、构件、设备的规格、质量与数量。督促承包商编制材料的供需计划，协助业主安排甲供材料的供应计划。</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（8）对施工变更的签证，主持施工图交底，参与设计变更的签证，复核施工变更。</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（9）主持召开工程协调会议并做好会议纪要，调解有关工程建设各种合同争议，处理索赔事项。</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（10）检查安全防护措施和文明施工,检查督促工程进度、施工质量。</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（11）督促施工单位及时整理技术资料及竣工验收资料。</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12</w:t>
      </w:r>
      <w:r>
        <w:rPr>
          <w:rFonts w:ascii="宋体" w:hAnsi="宋体"/>
          <w:color w:val="auto"/>
          <w:szCs w:val="21"/>
          <w:highlight w:val="none"/>
        </w:rPr>
        <w:t xml:space="preserve">）协助业主对工程投资进行控制，对施工单位提出的付款申请进行审核。</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（13）参加审核工程结算，协助业主审核工程造价，努力降低工程费用。</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（14）监理单位应在工程竣工验收合格后一个月内完成</w:t>
      </w:r>
      <w:r>
        <w:rPr>
          <w:rFonts w:hint="eastAsia" w:ascii="宋体" w:hAnsi="宋体"/>
          <w:color w:val="auto"/>
          <w:szCs w:val="21"/>
          <w:highlight w:val="none"/>
        </w:rPr>
        <w:t xml:space="preserve">三</w:t>
      </w:r>
      <w:r>
        <w:rPr>
          <w:rFonts w:ascii="宋体" w:hAnsi="宋体"/>
          <w:color w:val="auto"/>
          <w:szCs w:val="21"/>
          <w:highlight w:val="none"/>
        </w:rPr>
        <w:t xml:space="preserve">套系统、完整、规范和符合城建档案馆要求的工程资料交业主验收存档。</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（15）履行其他法律、法规规定的监理职责义务，提供其他可免费提供的监理服务。</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（16）协助业主组织进行交工验收及竣工验收。</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（17）完成监理规范要求的其他工作内容。</w:t>
      </w:r>
      <w:r/>
    </w:p>
    <w:p>
      <w:pPr>
        <w:ind w:firstLine="420"/>
        <w:jc w:val="both"/>
        <w:keepLines w:val="0"/>
        <w:keepNext w:val="0"/>
        <w:pageBreakBefore w:val="0"/>
        <w:spacing w:line="360" w:lineRule="auto"/>
        <w:widowControl w:val="off"/>
        <w:tabs>
          <w:tab w:val="left" w:pos="0" w:leader="none"/>
        </w:tabs>
        <w:rPr>
          <w:rFonts w:ascii="宋体" w:hAnsi="宋体"/>
          <w:color w:val="auto"/>
          <w:szCs w:val="21"/>
          <w:highlight w:val="none"/>
        </w:rPr>
      </w:pPr>
      <w:r>
        <w:rPr>
          <w:rFonts w:ascii="宋体" w:hAnsi="宋体"/>
          <w:color w:val="auto"/>
          <w:szCs w:val="21"/>
          <w:highlight w:val="none"/>
        </w:rPr>
        <w:t xml:space="preserve">2、按照</w:t>
      </w:r>
      <w:r>
        <w:rPr>
          <w:rFonts w:hint="eastAsia" w:ascii="宋体" w:hAnsi="宋体"/>
          <w:color w:val="auto"/>
          <w:szCs w:val="21"/>
          <w:highlight w:val="none"/>
          <w:lang w:val="en-US" w:eastAsia="zh-CN"/>
        </w:rPr>
        <w:t xml:space="preserve">三</w:t>
      </w:r>
      <w:r>
        <w:rPr>
          <w:rFonts w:ascii="宋体" w:hAnsi="宋体"/>
          <w:color w:val="auto"/>
          <w:szCs w:val="21"/>
          <w:highlight w:val="none"/>
        </w:rPr>
        <w:t xml:space="preserve">控制（质量控制、进度控制、投资控制） 、三管理（信息管理、合同管理、</w:t>
      </w:r>
      <w:r>
        <w:rPr>
          <w:rFonts w:hint="eastAsia" w:ascii="宋体" w:hAnsi="宋体"/>
          <w:color w:val="auto"/>
          <w:szCs w:val="21"/>
          <w:highlight w:val="none"/>
          <w:lang w:val="en-US" w:eastAsia="zh-CN"/>
        </w:rPr>
        <w:t xml:space="preserve">安全管理</w:t>
      </w:r>
      <w:r>
        <w:rPr>
          <w:rFonts w:ascii="宋体" w:hAnsi="宋体"/>
          <w:color w:val="auto"/>
          <w:szCs w:val="21"/>
          <w:highlight w:val="none"/>
        </w:rPr>
        <w:t xml:space="preserve">）、一协调（协调和沟通）的监理原则，保证项目在规定的计划时间内按质、按量完成，实现项目建设目标，具体内容包括：</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（1）工程质量目标</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在预定的工程进度和投资下，完成合同中所规定的工程项目，且满足承建合同中和招标文件所规定的技术指标要求。</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（2）工程进度目标</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保证工程在合同规定的时间内完成，且工程的各个分项、各个阶段建设按照预定的计划有序地进行。工程总进度以建设项目招标后最早实施时间至合同中所规定的最晚结束时间为准。</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（3）工程投资目标</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保证合同在规定的投资规模内完成，保证项目资金使用合理。</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（4）咨询监理服务要求</w:t>
      </w:r>
      <w:r/>
    </w:p>
    <w:p>
      <w:pPr>
        <w:ind w:firstLine="420"/>
        <w:jc w:val="both"/>
        <w:keepLines w:val="0"/>
        <w:keepNext w:val="0"/>
        <w:pageBreakBefore w:val="0"/>
        <w:spacing w:line="360" w:lineRule="auto"/>
        <w:widowControl w:val="off"/>
        <w:tabs>
          <w:tab w:val="left" w:pos="0" w:leader="none"/>
        </w:tabs>
        <w:rPr>
          <w:rFonts w:ascii="宋体" w:hAnsi="宋体"/>
          <w:color w:val="auto"/>
          <w:szCs w:val="21"/>
          <w:highlight w:val="none"/>
        </w:rPr>
      </w:pPr>
      <w:r>
        <w:rPr>
          <w:rFonts w:ascii="宋体" w:hAnsi="宋体"/>
          <w:color w:val="auto"/>
          <w:szCs w:val="21"/>
          <w:highlight w:val="none"/>
        </w:rPr>
        <w:t xml:space="preserve">监理单位要求对工程的质量、进度、造价等进行控制。同时，还要对工程承包合同的执行、工程开发信息文档等进行管理。在投资前期、建设准备、实施阶段、生产阶段提供咨询、工作，实现“按期保质、安全高效”的工作目标。</w:t>
      </w:r>
      <w:r/>
    </w:p>
    <w:p>
      <w:pPr>
        <w:ind w:firstLine="422"/>
        <w:jc w:val="both"/>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四、监理单位的主要责任</w:t>
      </w:r>
      <w:r/>
    </w:p>
    <w:p>
      <w:pPr>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施工质量责任：监理单位须承担工程施工监督检查义务，并用书面形式向采购人详细报告其监督和检查中发现的有关问题。监理应确保承包商按合同文件的要求进行施工，并努力确保施工质量达到合同约定的标准。</w:t>
      </w:r>
      <w:r/>
    </w:p>
    <w:p>
      <w:pPr>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2、安全管理责任：监理单位须对承包商所提交的安全措施计划进行审核，制订一份综合安全措施计划递交采购人；施工期间，监理单位须监督承包商遵守安全措施中的要求；监理单位须与代表政府的安全检查部门进行合作以保证职工安全和健康条例的贯彻实施。</w:t>
      </w:r>
      <w:r/>
    </w:p>
    <w:p>
      <w:pPr>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进度控制责任：监理单位为保证工程在计划完工日期内完工，须制订一份符合实际的综合性的工程进度计划，但为使该进度计划得以实施的最终权力仍由采购人控制。在进度方面监理单位与各承包商之间出现任何分歧时，监理单位负责立即以书面形式将有关的详细情况，适用的合同条款以及建议采购人应采取的行动方案告知采购人。在收到采购人的书面解释或答复之后，监理单位须迅速将其转达给承包商。</w:t>
      </w:r>
      <w:r/>
    </w:p>
    <w:p>
      <w:pPr>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4、投资控制责任：承包商虚报了已完工程量，但监理单位（无论是否故意）仍然如数签发了承包商所申请的工程款而不作任何反应，则监理单位应承担工程款签发不当的责任。</w:t>
      </w:r>
      <w:r/>
    </w:p>
    <w:p>
      <w:pPr>
        <w:ind w:firstLine="422"/>
        <w:jc w:val="both"/>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五、监理单位的工作方法</w:t>
      </w:r>
      <w:r/>
    </w:p>
    <w:p>
      <w:pPr>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监理工作方法主要包括：日巡、日查、月检（考评）、现场拍照、记录等。</w:t>
      </w:r>
      <w:r/>
    </w:p>
    <w:p>
      <w:pPr>
        <w:ind w:firstLine="420"/>
        <w:jc w:val="both"/>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bidi="ar"/>
        </w:rPr>
        <w:t xml:space="preserve">1、监理人员在监理过程中，应及时做好监理日记，并保存好相关资料。当采购人及有关部门检查某项施工内容时，监理单位必须积极配合，主动提供监理日记检查部位的工程记录和相关资料</w:t>
      </w:r>
      <w:r>
        <w:rPr>
          <w:rFonts w:hint="eastAsia" w:ascii="宋体" w:hAnsi="宋体" w:cs="宋体"/>
          <w:color w:val="auto"/>
          <w:szCs w:val="21"/>
          <w:highlight w:val="none"/>
          <w:lang w:eastAsia="zh-CN" w:bidi="ar"/>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bidi="ar"/>
        </w:rPr>
        <w:t xml:space="preserve">2、监理单位和监理人员必须对所签证工程量的真实性负责，所签证的内容必须有相关记录</w:t>
      </w:r>
      <w:r>
        <w:rPr>
          <w:rFonts w:hint="eastAsia" w:ascii="宋体" w:hAnsi="宋体" w:cs="宋体"/>
          <w:color w:val="auto"/>
          <w:szCs w:val="21"/>
          <w:highlight w:val="none"/>
          <w:lang w:eastAsia="zh-CN" w:bidi="ar"/>
        </w:rPr>
        <w:t xml:space="preserve">。</w:t>
      </w:r>
      <w:r/>
    </w:p>
    <w:p>
      <w:pPr>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3、监理单位和监理人员对于施工单位上报的期间计量、设计变更和结算资料必须进行复核，保证资料的真实性和完整性，对于涉及的工程价款必须进行审核确认。工程结算经监理审核确认后上报相关部门审计。</w:t>
      </w:r>
      <w:r/>
    </w:p>
    <w:p>
      <w:pPr>
        <w:numPr>
          <w:ilvl w:val="0"/>
          <w:numId w:val="0"/>
        </w:num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lang w:bidi="ar"/>
        </w:rPr>
        <w:t xml:space="preserve">4、呈报表格必须及时送到本项目采购方及有关管理负责人，反映意见表的呈送时间不得超过合同约定的时间。</w:t>
      </w:r>
      <w:r/>
    </w:p>
    <w:p>
      <w:pPr>
        <w:rPr>
          <w:rFonts w:hint="eastAsia" w:ascii="宋体" w:hAnsi="宋体"/>
          <w:b/>
          <w:bCs/>
          <w:color w:val="auto"/>
          <w:sz w:val="36"/>
          <w:highlight w:val="none"/>
        </w:rPr>
      </w:pPr>
      <w:r>
        <w:rPr>
          <w:rFonts w:hint="eastAsia" w:ascii="宋体" w:hAnsi="宋体"/>
          <w:b/>
          <w:bCs/>
          <w:color w:val="auto"/>
          <w:sz w:val="36"/>
          <w:highlight w:val="none"/>
        </w:rPr>
        <w:br w:type="page" w:clear="all"/>
      </w:r>
      <w:r/>
    </w:p>
    <w:p>
      <w:pPr>
        <w:pStyle w:val="1117"/>
        <w:ind w:left="0" w:firstLine="723"/>
        <w:jc w:val="center"/>
        <w:spacing w:line="360" w:lineRule="auto"/>
        <w:rPr>
          <w:rFonts w:hint="eastAsia" w:ascii="宋体" w:hAnsi="宋体"/>
          <w:color w:val="auto"/>
          <w:highlight w:val="none"/>
        </w:rPr>
      </w:pPr>
      <w:r>
        <w:rPr>
          <w:rFonts w:hint="eastAsia" w:ascii="宋体" w:hAnsi="宋体"/>
          <w:b/>
          <w:bCs/>
          <w:color w:val="auto"/>
          <w:sz w:val="36"/>
          <w:highlight w:val="none"/>
        </w:rPr>
        <w:t xml:space="preserve">第五章 评标方法及评标标准</w:t>
      </w:r>
      <w:r/>
    </w:p>
    <w:p>
      <w:pPr>
        <w:pStyle w:val="1118"/>
        <w:ind w:firstLine="422"/>
        <w:jc w:val="both"/>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29" w:name="_Toc449017024"/>
      <w:r/>
      <w:bookmarkStart w:id="30" w:name="_Toc449016388"/>
      <w:r>
        <w:rPr>
          <w:rFonts w:hint="eastAsia" w:ascii="宋体" w:hAnsi="宋体"/>
          <w:b/>
          <w:color w:val="auto"/>
          <w:szCs w:val="21"/>
          <w:highlight w:val="none"/>
        </w:rPr>
        <w:t xml:space="preserve">二、政府采购政策功能落实</w:t>
      </w:r>
      <w:bookmarkEnd w:id="29"/>
      <w:r/>
      <w:bookmarkEnd w:id="30"/>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bookmarkEnd w:id="28"/>
      <w:r/>
      <w:r/>
    </w:p>
    <w:p>
      <w:pPr>
        <w:pStyle w:val="1118"/>
        <w:ind w:firstLine="420"/>
        <w:jc w:val="both"/>
        <w:spacing w:before="0" w:after="0"/>
        <w:rPr>
          <w:rFonts w:hint="eastAsia" w:ascii="宋体" w:hAnsi="宋体" w:cs="宋体"/>
          <w:b/>
          <w:bCs/>
          <w:i/>
          <w:iCs/>
          <w:color w:val="auto"/>
          <w:sz w:val="21"/>
          <w:szCs w:val="21"/>
          <w:highlight w:val="none"/>
          <w:u w:val="single"/>
        </w:rPr>
      </w:pPr>
      <w:r>
        <w:rPr>
          <w:rFonts w:hint="eastAsia" w:ascii="宋体" w:hAnsi="宋体" w:cs="宋体"/>
          <w:b/>
          <w:bCs/>
          <w:i/>
          <w:iCs/>
          <w:color w:val="auto"/>
          <w:sz w:val="21"/>
          <w:szCs w:val="21"/>
          <w:highlight w:val="none"/>
          <w:u w:val="single"/>
        </w:rPr>
        <w:t xml:space="preserve">本项目专门面向中小企业采购故价格部分不进行价格扣除。</w:t>
      </w:r>
      <w:r/>
    </w:p>
    <w:p>
      <w:pPr>
        <w:pStyle w:val="1118"/>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三、评审标准</w:t>
      </w:r>
      <w:r/>
    </w:p>
    <w:tbl>
      <w:tblPr>
        <w:tblStyle w:val="80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1060"/>
        <w:gridCol w:w="5649"/>
        <w:gridCol w:w="653"/>
      </w:tblGrid>
      <w:tr>
        <w:trPr>
          <w:jc w:val="center"/>
          <w:trHeight w:val="567"/>
        </w:trPr>
        <w:tc>
          <w:tcPr>
            <w:tcW w:w="679" w:type="pct"/>
            <w:vAlign w:val="center"/>
            <w:textDirection w:val="lrTb"/>
            <w:noWrap w:val="false"/>
          </w:tcPr>
          <w:p>
            <w:pPr>
              <w:keepLines w:val="0"/>
              <w:keepNext w:val="0"/>
              <w:pageBreakBefore w:val="0"/>
              <w:spacing w:line="240" w:lineRule="auto"/>
              <w:widowControl w:val="off"/>
              <w:rPr>
                <w:rFonts w:hint="eastAsia" w:ascii="宋体" w:hAnsi="宋体" w:eastAsia="宋体" w:cs="宋体"/>
                <w:b/>
                <w:color w:val="auto"/>
                <w:spacing w:val="0"/>
                <w:sz w:val="21"/>
                <w:szCs w:val="21"/>
                <w:highlight w:val="none"/>
              </w:rPr>
            </w:pPr>
            <w:r>
              <w:rPr>
                <w:rFonts w:hint="eastAsia" w:ascii="宋体" w:hAnsi="宋体" w:eastAsia="宋体" w:cs="宋体"/>
                <w:b w:val="0"/>
                <w:bCs w:val="0"/>
                <w:color w:val="auto"/>
                <w:spacing w:val="0"/>
                <w:sz w:val="21"/>
                <w:szCs w:val="21"/>
                <w:highlight w:val="none"/>
              </w:rPr>
              <w:br w:type="page" w:clear="all"/>
            </w:r>
            <w:r>
              <w:rPr>
                <w:rFonts w:hint="eastAsia" w:ascii="宋体" w:hAnsi="宋体" w:eastAsia="宋体" w:cs="宋体"/>
                <w:b/>
                <w:color w:val="auto"/>
                <w:spacing w:val="0"/>
                <w:sz w:val="21"/>
                <w:szCs w:val="21"/>
                <w:highlight w:val="none"/>
                <w:lang w:val="en-US" w:eastAsia="zh-CN"/>
              </w:rPr>
              <w:t xml:space="preserve">评审因素</w:t>
            </w:r>
            <w:r/>
          </w:p>
        </w:tc>
        <w:tc>
          <w:tcPr>
            <w:gridSpan w:val="2"/>
            <w:tcW w:w="393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评分</w:t>
            </w:r>
            <w:r>
              <w:rPr>
                <w:rFonts w:hint="eastAsia" w:ascii="宋体" w:hAnsi="宋体" w:eastAsia="宋体" w:cs="宋体"/>
                <w:b/>
                <w:color w:val="auto"/>
                <w:spacing w:val="0"/>
                <w:sz w:val="21"/>
                <w:szCs w:val="21"/>
                <w:highlight w:val="none"/>
                <w:lang w:val="en-US" w:eastAsia="zh-CN"/>
              </w:rPr>
              <w:t xml:space="preserve">标准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lang w:val="en-US" w:eastAsia="zh-CN"/>
              </w:rPr>
              <w:t xml:space="preserve">分值</w:t>
            </w:r>
            <w:r/>
          </w:p>
        </w:tc>
      </w:tr>
      <w:tr>
        <w:trPr>
          <w:jc w:val="center"/>
          <w:trHeight w:val="567"/>
        </w:trPr>
        <w:tc>
          <w:tcPr>
            <w:tcW w:w="67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投标报价</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（10分）</w:t>
            </w:r>
            <w:r/>
          </w:p>
        </w:tc>
        <w:tc>
          <w:tcPr>
            <w:gridSpan w:val="2"/>
            <w:tcW w:w="393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color w:val="auto"/>
                <w:spacing w:val="0"/>
                <w:sz w:val="21"/>
                <w:szCs w:val="21"/>
                <w:highlight w:val="none"/>
              </w:rPr>
            </w:pPr>
            <w:r>
              <w:rPr>
                <w:rFonts w:hint="eastAsia" w:ascii="宋体" w:hAnsi="宋体" w:eastAsia="宋体" w:cs="宋体"/>
                <w:color w:val="auto"/>
                <w:spacing w:val="0"/>
                <w:sz w:val="21"/>
                <w:szCs w:val="21"/>
                <w:highlight w:val="none"/>
              </w:rPr>
              <w:t xml:space="preserve">以满足招标文件要求的最后最低投标报价为评标基准价，得满分</w:t>
            </w:r>
            <w:r>
              <w:rPr>
                <w:rFonts w:hint="eastAsia" w:ascii="宋体" w:hAnsi="宋体" w:eastAsia="宋体" w:cs="宋体"/>
                <w:color w:val="auto"/>
                <w:spacing w:val="0"/>
                <w:sz w:val="21"/>
                <w:szCs w:val="21"/>
                <w:highlight w:val="none"/>
                <w:lang w:val="en-US" w:eastAsia="zh-CN"/>
              </w:rPr>
              <w:t xml:space="preserve">10</w:t>
            </w:r>
            <w:r>
              <w:rPr>
                <w:rFonts w:hint="eastAsia" w:ascii="宋体" w:hAnsi="宋体" w:eastAsia="宋体" w:cs="宋体"/>
                <w:color w:val="auto"/>
                <w:spacing w:val="0"/>
                <w:sz w:val="21"/>
                <w:szCs w:val="21"/>
                <w:highlight w:val="none"/>
              </w:rPr>
              <w:t xml:space="preserve">分，其他投标报价得分=（评标基准价/其他投标报价）×</w:t>
            </w:r>
            <w:r>
              <w:rPr>
                <w:rFonts w:hint="eastAsia" w:ascii="宋体" w:hAnsi="宋体" w:eastAsia="宋体" w:cs="宋体"/>
                <w:color w:val="auto"/>
                <w:spacing w:val="0"/>
                <w:sz w:val="21"/>
                <w:szCs w:val="21"/>
                <w:highlight w:val="none"/>
                <w:lang w:val="en-US" w:eastAsia="zh-CN"/>
              </w:rPr>
              <w:t xml:space="preserve">10</w:t>
            </w:r>
            <w:r>
              <w:rPr>
                <w:rFonts w:hint="eastAsia" w:ascii="宋体" w:hAnsi="宋体" w:eastAsia="宋体" w:cs="宋体"/>
                <w:color w:val="auto"/>
                <w:spacing w:val="0"/>
                <w:sz w:val="21"/>
                <w:szCs w:val="21"/>
                <w:highlight w:val="none"/>
              </w:rPr>
              <w:t xml:space="preserve">×100%。</w:t>
            </w:r>
            <w:r>
              <w:rPr>
                <w:rFonts w:hint="eastAsia" w:ascii="宋体" w:hAnsi="宋体" w:eastAsia="宋体" w:cs="宋体"/>
                <w:bCs/>
                <w:color w:val="auto"/>
                <w:spacing w:val="0"/>
                <w:sz w:val="21"/>
                <w:szCs w:val="21"/>
                <w:highlight w:val="none"/>
              </w:rPr>
              <w:t xml:space="preserve">（四舍五入，保留两位小数）</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lang w:val="en-US" w:eastAsia="zh-CN"/>
              </w:rPr>
              <w:t xml:space="preserve">10</w:t>
            </w:r>
            <w:r/>
          </w:p>
        </w:tc>
      </w:tr>
      <w:tr>
        <w:trPr>
          <w:jc w:val="center"/>
          <w:trHeight w:val="567"/>
        </w:trPr>
        <w:tc>
          <w:tcPr>
            <w:tcBorders>
              <w:top w:val="single" w:color="auto" w:sz="4" w:space="0"/>
            </w:tcBorders>
            <w:tcW w:w="679" w:type="pct"/>
            <w:vAlign w:val="center"/>
            <w:vMerge w:val="restart"/>
            <w:textDirection w:val="lrTb"/>
            <w:noWrap w:val="false"/>
          </w:tcPr>
          <w:p>
            <w:pPr>
              <w:pStyle w:val="856"/>
              <w:jc w:val="center"/>
              <w:keepLines w:val="0"/>
              <w:keepNext w:val="0"/>
              <w:pageBreakBefore w:val="0"/>
              <w:spacing w:before="0" w:after="0" w:line="240" w:lineRule="auto"/>
              <w:widowControl w:val="off"/>
              <w:rPr>
                <w:rFonts w:hint="eastAsia" w:ascii="宋体" w:hAnsi="宋体" w:eastAsia="宋体" w:cs="宋体"/>
                <w:b w:val="0"/>
                <w:bCs w:val="0"/>
                <w:color w:val="auto"/>
                <w:spacing w:val="0"/>
                <w:sz w:val="21"/>
                <w:szCs w:val="21"/>
                <w:highlight w:val="none"/>
              </w:rPr>
            </w:pPr>
            <w:r/>
            <w:bookmarkStart w:id="31" w:name="_Toc8127"/>
            <w:r/>
            <w:bookmarkStart w:id="32" w:name="_Toc16856"/>
            <w:r>
              <w:rPr>
                <w:rFonts w:hint="eastAsia" w:ascii="宋体" w:hAnsi="宋体" w:eastAsia="宋体" w:cs="宋体"/>
                <w:b w:val="0"/>
                <w:bCs w:val="0"/>
                <w:color w:val="auto"/>
                <w:spacing w:val="0"/>
                <w:sz w:val="21"/>
                <w:szCs w:val="21"/>
                <w:highlight w:val="none"/>
              </w:rPr>
              <w:t xml:space="preserve">监理大纲</w:t>
            </w:r>
            <w:r/>
          </w:p>
          <w:p>
            <w:pPr>
              <w:pStyle w:val="856"/>
              <w:jc w:val="center"/>
              <w:keepLines w:val="0"/>
              <w:keepNext w:val="0"/>
              <w:pageBreakBefore w:val="0"/>
              <w:spacing w:before="0" w:after="0" w:line="240" w:lineRule="auto"/>
              <w:widowControl w:val="off"/>
              <w:rPr>
                <w:rFonts w:hint="eastAsia" w:ascii="宋体" w:hAnsi="宋体" w:eastAsia="宋体" w:cs="宋体"/>
                <w:b w:val="0"/>
                <w:bCs w:val="0"/>
                <w:spacing w:val="0"/>
                <w:sz w:val="21"/>
                <w:szCs w:val="21"/>
                <w:highlight w:val="none"/>
              </w:rPr>
            </w:pPr>
            <w:r>
              <w:rPr>
                <w:rFonts w:hint="eastAsia" w:ascii="宋体" w:hAnsi="宋体" w:eastAsia="宋体" w:cs="宋体"/>
                <w:b w:val="0"/>
                <w:bCs w:val="0"/>
                <w:color w:val="auto"/>
                <w:spacing w:val="0"/>
                <w:sz w:val="21"/>
                <w:szCs w:val="21"/>
                <w:highlight w:val="none"/>
              </w:rPr>
              <w:t xml:space="preserve">（</w:t>
            </w:r>
            <w:r>
              <w:rPr>
                <w:rFonts w:hint="eastAsia" w:ascii="宋体" w:hAnsi="宋体" w:eastAsia="宋体" w:cs="宋体"/>
                <w:b w:val="0"/>
                <w:bCs w:val="0"/>
                <w:color w:val="auto"/>
                <w:spacing w:val="0"/>
                <w:sz w:val="21"/>
                <w:szCs w:val="21"/>
                <w:highlight w:val="none"/>
                <w:lang w:val="en-US" w:eastAsia="zh-CN"/>
              </w:rPr>
              <w:t xml:space="preserve">57</w:t>
            </w:r>
            <w:r>
              <w:rPr>
                <w:rFonts w:hint="eastAsia" w:ascii="宋体" w:hAnsi="宋体" w:eastAsia="宋体" w:cs="宋体"/>
                <w:b w:val="0"/>
                <w:bCs w:val="0"/>
                <w:color w:val="auto"/>
                <w:spacing w:val="0"/>
                <w:sz w:val="21"/>
                <w:szCs w:val="21"/>
                <w:highlight w:val="none"/>
              </w:rPr>
              <w:t xml:space="preserve">分）</w:t>
            </w:r>
            <w:bookmarkEnd w:id="31"/>
            <w:r/>
            <w:bookmarkEnd w:id="32"/>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监理大纲 </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基本要求</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监理大纲要求，项目目标、范围、任务、组织和依据明确具体，可实施性强得5</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监理大纲要求，项目目标、范围、任务、组织和依据较为具体，具有可实施性的得3</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监理大纲要求，项目目标、范围、任务、组织和依据够明确具体，可实施性一般得1</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5</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工程项目建设监理制度</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工程项目建设监理措施阐述详实具体、可实施性强的得5</w:t>
            </w:r>
            <w:r>
              <w:rPr>
                <w:rFonts w:hint="eastAsia" w:ascii="宋体" w:hAnsi="宋体" w:eastAsia="宋体" w:cs="宋体"/>
                <w:color w:val="auto"/>
                <w:spacing w:val="0"/>
                <w:sz w:val="21"/>
                <w:szCs w:val="21"/>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工程项目建设监理制度措施阐述较为详细、具有可实施性的得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工程项目建设监理制度阐述不够详细、可实施性一般得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5</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质量控制的措施</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质量控制的措施</w:t>
            </w:r>
            <w:r>
              <w:rPr>
                <w:rFonts w:hint="eastAsia" w:ascii="宋体" w:hAnsi="宋体" w:eastAsia="宋体" w:cs="宋体"/>
                <w:color w:val="auto"/>
                <w:spacing w:val="0"/>
                <w:sz w:val="21"/>
                <w:szCs w:val="21"/>
                <w:highlight w:val="none"/>
              </w:rPr>
              <w:t xml:space="preserve">阐述详实具体、可实施性强的得</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质量控制的措施</w:t>
            </w:r>
            <w:r>
              <w:rPr>
                <w:rFonts w:hint="eastAsia" w:ascii="宋体" w:hAnsi="宋体" w:eastAsia="宋体" w:cs="宋体"/>
                <w:color w:val="auto"/>
                <w:spacing w:val="0"/>
                <w:sz w:val="21"/>
                <w:szCs w:val="21"/>
                <w:highlight w:val="none"/>
              </w:rPr>
              <w:t xml:space="preserve">阐述较为详细、具有可实施性的得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质量控制的措施</w:t>
            </w:r>
            <w:r>
              <w:rPr>
                <w:rFonts w:hint="eastAsia" w:ascii="宋体" w:hAnsi="宋体" w:eastAsia="宋体" w:cs="宋体"/>
                <w:color w:val="auto"/>
                <w:spacing w:val="0"/>
                <w:sz w:val="21"/>
                <w:szCs w:val="21"/>
                <w:highlight w:val="none"/>
              </w:rPr>
              <w:t xml:space="preserve">阐述不够详细、可实施性一般得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5</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进度控制的措施</w:t>
            </w: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进度控制的措施</w:t>
            </w:r>
            <w:r>
              <w:rPr>
                <w:rFonts w:hint="eastAsia" w:ascii="宋体" w:hAnsi="宋体" w:eastAsia="宋体" w:cs="宋体"/>
                <w:color w:val="auto"/>
                <w:spacing w:val="0"/>
                <w:sz w:val="21"/>
                <w:szCs w:val="21"/>
                <w:highlight w:val="none"/>
              </w:rPr>
              <w:t xml:space="preserve">阐述详实具体、可实施性强的得</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进度控制的措</w:t>
            </w:r>
            <w:r>
              <w:rPr>
                <w:rFonts w:hint="eastAsia" w:ascii="宋体" w:hAnsi="宋体" w:eastAsia="宋体" w:cs="宋体"/>
                <w:color w:val="auto"/>
                <w:spacing w:val="0"/>
                <w:sz w:val="21"/>
                <w:szCs w:val="21"/>
                <w:highlight w:val="none"/>
              </w:rPr>
              <w:t xml:space="preserve">施阐述较为详细、具有可实施性的得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进度控制的措施</w:t>
            </w:r>
            <w:r>
              <w:rPr>
                <w:rFonts w:hint="eastAsia" w:ascii="宋体" w:hAnsi="宋体" w:eastAsia="宋体" w:cs="宋体"/>
                <w:color w:val="auto"/>
                <w:spacing w:val="0"/>
                <w:sz w:val="21"/>
                <w:szCs w:val="21"/>
                <w:highlight w:val="none"/>
              </w:rPr>
              <w:t xml:space="preserve">阐述不够详细、可实施性一般得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5</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投资控制的措施</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投资控制的措施</w:t>
            </w:r>
            <w:r>
              <w:rPr>
                <w:rFonts w:hint="eastAsia" w:ascii="宋体" w:hAnsi="宋体" w:eastAsia="宋体" w:cs="宋体"/>
                <w:color w:val="auto"/>
                <w:spacing w:val="0"/>
                <w:sz w:val="21"/>
                <w:szCs w:val="21"/>
                <w:highlight w:val="none"/>
              </w:rPr>
              <w:t xml:space="preserve">阐述详实具体、可实施性强的得</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投资控制的措施</w:t>
            </w:r>
            <w:r>
              <w:rPr>
                <w:rFonts w:hint="eastAsia" w:ascii="宋体" w:hAnsi="宋体" w:eastAsia="宋体" w:cs="宋体"/>
                <w:color w:val="auto"/>
                <w:spacing w:val="0"/>
                <w:sz w:val="21"/>
                <w:szCs w:val="21"/>
                <w:highlight w:val="none"/>
              </w:rPr>
              <w:t xml:space="preserve">阐述较为详细、具有可实施性的得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投资控制的措施</w:t>
            </w:r>
            <w:r>
              <w:rPr>
                <w:rFonts w:hint="eastAsia" w:ascii="宋体" w:hAnsi="宋体" w:eastAsia="宋体" w:cs="宋体"/>
                <w:color w:val="auto"/>
                <w:spacing w:val="0"/>
                <w:sz w:val="21"/>
                <w:szCs w:val="21"/>
                <w:highlight w:val="none"/>
              </w:rPr>
              <w:t xml:space="preserve">阐述不够详细、可实施性一般得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5</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安全文明生产管理措施</w:t>
            </w:r>
            <w:r/>
          </w:p>
          <w:p>
            <w:pPr>
              <w:jc w:val="cente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安全文明生产管理措施</w:t>
            </w:r>
            <w:r>
              <w:rPr>
                <w:rFonts w:hint="eastAsia" w:ascii="宋体" w:hAnsi="宋体" w:eastAsia="宋体" w:cs="宋体"/>
                <w:color w:val="auto"/>
                <w:spacing w:val="0"/>
                <w:sz w:val="21"/>
                <w:szCs w:val="21"/>
                <w:highlight w:val="none"/>
              </w:rPr>
              <w:t xml:space="preserve">阐述详实、明确、具体、可实施性强的得</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安全文明生产管理措施</w:t>
            </w:r>
            <w:r>
              <w:rPr>
                <w:rFonts w:hint="eastAsia" w:ascii="宋体" w:hAnsi="宋体" w:eastAsia="宋体" w:cs="宋体"/>
                <w:color w:val="auto"/>
                <w:spacing w:val="0"/>
                <w:sz w:val="21"/>
                <w:szCs w:val="21"/>
                <w:highlight w:val="none"/>
              </w:rPr>
              <w:t xml:space="preserve">阐述较为详细、具有可实施性的得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安全文明生产管理措施</w:t>
            </w:r>
            <w:r>
              <w:rPr>
                <w:rFonts w:hint="eastAsia" w:ascii="宋体" w:hAnsi="宋体" w:eastAsia="宋体" w:cs="宋体"/>
                <w:color w:val="auto"/>
                <w:spacing w:val="0"/>
                <w:sz w:val="21"/>
                <w:szCs w:val="21"/>
                <w:highlight w:val="none"/>
              </w:rPr>
              <w:t xml:space="preserve">阐述不够详细、可实施性一般得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5</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缺陷责任期的监理措施</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缺陷责任期的监理措施</w:t>
            </w:r>
            <w:r>
              <w:rPr>
                <w:rFonts w:hint="eastAsia" w:ascii="宋体" w:hAnsi="宋体" w:eastAsia="宋体" w:cs="宋体"/>
                <w:color w:val="auto"/>
                <w:spacing w:val="0"/>
                <w:sz w:val="21"/>
                <w:szCs w:val="21"/>
                <w:highlight w:val="none"/>
              </w:rPr>
              <w:t xml:space="preserve">阐述详实具体、可实施性强的得</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缺陷责任期的监理措施</w:t>
            </w:r>
            <w:r>
              <w:rPr>
                <w:rFonts w:hint="eastAsia" w:ascii="宋体" w:hAnsi="宋体" w:eastAsia="宋体" w:cs="宋体"/>
                <w:color w:val="auto"/>
                <w:spacing w:val="0"/>
                <w:sz w:val="21"/>
                <w:szCs w:val="21"/>
                <w:highlight w:val="none"/>
              </w:rPr>
              <w:t xml:space="preserve">阐述较为详细具有可实施性的得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缺陷责任期的监理措施</w:t>
            </w:r>
            <w:r>
              <w:rPr>
                <w:rFonts w:hint="eastAsia" w:ascii="宋体" w:hAnsi="宋体" w:eastAsia="宋体" w:cs="宋体"/>
                <w:color w:val="auto"/>
                <w:spacing w:val="0"/>
                <w:sz w:val="21"/>
                <w:szCs w:val="21"/>
                <w:highlight w:val="none"/>
              </w:rPr>
              <w:t xml:space="preserve">阐述不够详细具体可实施性一般得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5</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合同管理措施</w:t>
            </w:r>
            <w:r/>
          </w:p>
          <w:p>
            <w:pPr>
              <w:jc w:val="cente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合同管理措施</w:t>
            </w:r>
            <w:r>
              <w:rPr>
                <w:rFonts w:hint="eastAsia" w:ascii="宋体" w:hAnsi="宋体" w:eastAsia="宋体" w:cs="宋体"/>
                <w:color w:val="auto"/>
                <w:spacing w:val="0"/>
                <w:sz w:val="21"/>
                <w:szCs w:val="21"/>
                <w:highlight w:val="none"/>
              </w:rPr>
              <w:t xml:space="preserve">阐述详实具体、可实施性强的得</w:t>
            </w: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合同管理措施</w:t>
            </w:r>
            <w:r>
              <w:rPr>
                <w:rFonts w:hint="eastAsia" w:ascii="宋体" w:hAnsi="宋体" w:eastAsia="宋体" w:cs="宋体"/>
                <w:color w:val="auto"/>
                <w:spacing w:val="0"/>
                <w:sz w:val="21"/>
                <w:szCs w:val="21"/>
                <w:highlight w:val="none"/>
              </w:rPr>
              <w:t xml:space="preserve">阐述较为详细、可实施性的为良好得</w:t>
            </w:r>
            <w:r>
              <w:rPr>
                <w:rFonts w:hint="eastAsia" w:ascii="宋体" w:hAnsi="宋体" w:eastAsia="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合同管理措施</w:t>
            </w:r>
            <w:r>
              <w:rPr>
                <w:rFonts w:hint="eastAsia" w:ascii="宋体" w:hAnsi="宋体" w:eastAsia="宋体" w:cs="宋体"/>
                <w:color w:val="auto"/>
                <w:spacing w:val="0"/>
                <w:sz w:val="21"/>
                <w:szCs w:val="21"/>
                <w:highlight w:val="none"/>
              </w:rPr>
              <w:t xml:space="preserve">阐述不够详细、可实施性一般得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p>
          <w:p>
            <w:pP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4</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信息管理措施</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信息管理措施</w:t>
            </w:r>
            <w:r>
              <w:rPr>
                <w:rFonts w:hint="eastAsia" w:ascii="宋体" w:hAnsi="宋体" w:eastAsia="宋体" w:cs="宋体"/>
                <w:color w:val="auto"/>
                <w:spacing w:val="0"/>
                <w:sz w:val="21"/>
                <w:szCs w:val="21"/>
                <w:highlight w:val="none"/>
              </w:rPr>
              <w:t xml:space="preserve">阐述详实具体、可实施性强的得</w:t>
            </w: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信息管理措施</w:t>
            </w:r>
            <w:r>
              <w:rPr>
                <w:rFonts w:hint="eastAsia" w:ascii="宋体" w:hAnsi="宋体" w:eastAsia="宋体" w:cs="宋体"/>
                <w:color w:val="auto"/>
                <w:spacing w:val="0"/>
                <w:sz w:val="21"/>
                <w:szCs w:val="21"/>
                <w:highlight w:val="none"/>
              </w:rPr>
              <w:t xml:space="preserve">阐述较为详细、可实施性的为良好得</w:t>
            </w:r>
            <w:r>
              <w:rPr>
                <w:rFonts w:hint="eastAsia" w:ascii="宋体" w:hAnsi="宋体" w:eastAsia="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信息管理措施</w:t>
            </w:r>
            <w:r>
              <w:rPr>
                <w:rFonts w:hint="eastAsia" w:ascii="宋体" w:hAnsi="宋体" w:eastAsia="宋体" w:cs="宋体"/>
                <w:color w:val="auto"/>
                <w:spacing w:val="0"/>
                <w:sz w:val="21"/>
                <w:szCs w:val="21"/>
                <w:highlight w:val="none"/>
              </w:rPr>
              <w:t xml:space="preserve">阐述不够详细、可实施性一般得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绿色文明施工管理措施</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绿色文明施工管理措施</w:t>
            </w:r>
            <w:r>
              <w:rPr>
                <w:rFonts w:hint="eastAsia" w:ascii="宋体" w:hAnsi="宋体" w:eastAsia="宋体" w:cs="宋体"/>
                <w:color w:val="auto"/>
                <w:spacing w:val="0"/>
                <w:sz w:val="21"/>
                <w:szCs w:val="21"/>
                <w:highlight w:val="none"/>
              </w:rPr>
              <w:t xml:space="preserve">阐述详实具体、可实施性强的得</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绿色文明施工管理措施</w:t>
            </w:r>
            <w:r>
              <w:rPr>
                <w:rFonts w:hint="eastAsia" w:ascii="宋体" w:hAnsi="宋体" w:eastAsia="宋体" w:cs="宋体"/>
                <w:color w:val="auto"/>
                <w:spacing w:val="0"/>
                <w:sz w:val="21"/>
                <w:szCs w:val="21"/>
                <w:highlight w:val="none"/>
              </w:rPr>
              <w:t xml:space="preserve">阐述较为详细、</w:t>
            </w:r>
            <w:r>
              <w:rPr>
                <w:rFonts w:hint="eastAsia" w:ascii="宋体" w:hAnsi="宋体" w:eastAsia="宋体" w:cs="宋体"/>
                <w:color w:val="auto"/>
                <w:spacing w:val="0"/>
                <w:sz w:val="21"/>
                <w:szCs w:val="21"/>
                <w:highlight w:val="none"/>
                <w:lang w:val="en-US" w:eastAsia="zh-CN"/>
              </w:rPr>
              <w:t xml:space="preserve">具有</w:t>
            </w:r>
            <w:r>
              <w:rPr>
                <w:rFonts w:hint="eastAsia" w:ascii="宋体" w:hAnsi="宋体" w:eastAsia="宋体" w:cs="宋体"/>
                <w:color w:val="auto"/>
                <w:spacing w:val="0"/>
                <w:sz w:val="21"/>
                <w:szCs w:val="21"/>
                <w:highlight w:val="none"/>
              </w:rPr>
              <w:t xml:space="preserve">可实施性的得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绿色文明施工管理措施</w:t>
            </w:r>
            <w:r>
              <w:rPr>
                <w:rFonts w:hint="eastAsia" w:ascii="宋体" w:hAnsi="宋体" w:eastAsia="宋体" w:cs="宋体"/>
                <w:color w:val="auto"/>
                <w:spacing w:val="0"/>
                <w:sz w:val="21"/>
                <w:szCs w:val="21"/>
                <w:highlight w:val="none"/>
              </w:rPr>
              <w:t xml:space="preserve">阐述不够详细、可实施性一般得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5</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shd w:val="clear" w:color="auto" w:fill="auto"/>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pacing w:val="0"/>
                <w:sz w:val="21"/>
                <w:szCs w:val="21"/>
                <w:highlight w:val="none"/>
                <w:lang w:val="en-US" w:eastAsia="zh-CN" w:bidi="ar-SA"/>
              </w:rPr>
            </w:pPr>
            <w:r>
              <w:rPr>
                <w:rFonts w:hint="eastAsia" w:ascii="宋体" w:hAnsi="宋体" w:eastAsia="宋体" w:cs="宋体"/>
                <w:bCs/>
                <w:color w:val="auto"/>
                <w:spacing w:val="0"/>
                <w:sz w:val="21"/>
                <w:szCs w:val="21"/>
                <w:highlight w:val="none"/>
              </w:rPr>
              <w:t xml:space="preserve">对本工程监理重点、难点和关键部分的阐明及监理实施意见（</w:t>
            </w:r>
            <w:r>
              <w:rPr>
                <w:rFonts w:hint="eastAsia" w:ascii="宋体" w:hAnsi="宋体" w:eastAsia="宋体" w:cs="宋体"/>
                <w:bCs/>
                <w:color w:val="auto"/>
                <w:spacing w:val="0"/>
                <w:sz w:val="21"/>
                <w:szCs w:val="21"/>
                <w:highlight w:val="none"/>
                <w:lang w:val="en-US" w:eastAsia="zh-CN"/>
              </w:rPr>
              <w:t xml:space="preserve">6</w:t>
            </w:r>
            <w:r>
              <w:rPr>
                <w:rFonts w:hint="eastAsia" w:ascii="宋体" w:hAnsi="宋体" w:eastAsia="宋体" w:cs="宋体"/>
                <w:bCs/>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重点、难点和关键部分的阐明及监理实施意见阐述贴合项目实际情况、重难点分析和关键工作阐述具有针对性、监理实施意见详实具体、可实施性强的得</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重点、难点和关键部分的阐明及监理实施意见阐述基本符合项目的情况，阐述较为详细具有可实施性的得</w:t>
            </w: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重点、难点和关键部分的阐明及监理实施意见阐述不够详细、可实施性一般得</w:t>
            </w:r>
            <w:r>
              <w:rPr>
                <w:rFonts w:hint="eastAsia" w:ascii="宋体" w:hAnsi="宋体" w:eastAsia="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6</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根据工程情况需要的其他内容</w:t>
            </w: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根据工程情况需要的其他内容监理工作提出有针对性的合理化建议</w:t>
            </w: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建议较为科学、可实施性较强的得3</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有合理化建议但针对性和可实施性一般的</w:t>
            </w:r>
            <w:r>
              <w:rPr>
                <w:rFonts w:hint="eastAsia" w:ascii="宋体" w:hAnsi="宋体" w:eastAsia="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rPr>
              <w:t xml:space="preserve">未提供有用的合理化建议的</w:t>
            </w:r>
            <w:r>
              <w:rPr>
                <w:rFonts w:hint="eastAsia" w:ascii="宋体" w:hAnsi="宋体" w:eastAsia="宋体" w:cs="宋体"/>
                <w:color w:val="auto"/>
                <w:spacing w:val="0"/>
                <w:sz w:val="21"/>
                <w:szCs w:val="21"/>
                <w:highlight w:val="none"/>
                <w:lang w:val="en-US" w:eastAsia="zh-CN"/>
              </w:rPr>
              <w:t xml:space="preserve">不得分</w:t>
            </w:r>
            <w:r>
              <w:rPr>
                <w:rFonts w:hint="eastAsia" w:ascii="宋体" w:hAnsi="宋体" w:eastAsia="宋体" w:cs="宋体"/>
                <w:color w:val="auto"/>
                <w:spacing w:val="0"/>
                <w:sz w:val="21"/>
                <w:szCs w:val="21"/>
                <w:highlight w:val="none"/>
              </w:rPr>
              <w:t xml:space="preserve">；</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3</w:t>
            </w:r>
            <w:r/>
          </w:p>
        </w:tc>
      </w:tr>
      <w:tr>
        <w:trPr>
          <w:jc w:val="center"/>
          <w:trHeight w:val="567"/>
        </w:trPr>
        <w:tc>
          <w:tcPr>
            <w:tcW w:w="67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综合实力</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p>
        </w:tc>
        <w:tc>
          <w:tcPr>
            <w:gridSpan w:val="2"/>
            <w:tcW w:w="3937" w:type="pct"/>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供应商具有有效的</w:t>
            </w:r>
            <w:r>
              <w:rPr>
                <w:rFonts w:hint="eastAsia" w:ascii="宋体" w:hAnsi="宋体" w:eastAsia="宋体" w:cs="宋体"/>
                <w:color w:val="auto"/>
                <w:spacing w:val="0"/>
                <w:sz w:val="21"/>
                <w:szCs w:val="21"/>
                <w:highlight w:val="none"/>
              </w:rPr>
              <w:t xml:space="preserve">质量管理体系认证证书</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环境管理体系认证证书</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职业健康安全管理体系认证证书的</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每有一项</w:t>
            </w:r>
            <w:r>
              <w:rPr>
                <w:rFonts w:hint="eastAsia" w:ascii="宋体" w:hAnsi="宋体" w:eastAsia="宋体" w:cs="宋体"/>
                <w:color w:val="auto"/>
                <w:spacing w:val="0"/>
                <w:sz w:val="21"/>
                <w:szCs w:val="21"/>
                <w:highlight w:val="none"/>
              </w:rPr>
              <w:t xml:space="preserve">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满分3分。</w:t>
            </w:r>
            <w:r>
              <w:rPr>
                <w:rFonts w:hint="eastAsia" w:ascii="宋体" w:hAnsi="宋体" w:eastAsia="宋体" w:cs="宋体"/>
                <w:b/>
                <w:bCs/>
                <w:color w:val="auto"/>
                <w:spacing w:val="0"/>
                <w:sz w:val="21"/>
                <w:szCs w:val="21"/>
                <w:highlight w:val="none"/>
                <w:lang w:val="en-US" w:eastAsia="zh-CN"/>
              </w:rPr>
              <w:t xml:space="preserve">（提供证书原件扫描上传，未提供不得分）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3</w:t>
            </w:r>
            <w:r/>
          </w:p>
        </w:tc>
      </w:tr>
      <w:tr>
        <w:trPr>
          <w:jc w:val="center"/>
          <w:trHeight w:val="567"/>
        </w:trPr>
        <w:tc>
          <w:tcPr>
            <w:tcW w:w="67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总监综合素质</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分）</w:t>
            </w:r>
            <w:r/>
          </w:p>
        </w:tc>
        <w:tc>
          <w:tcPr>
            <w:gridSpan w:val="2"/>
            <w:tcW w:w="393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拟投入本项目</w:t>
            </w:r>
            <w:r>
              <w:rPr>
                <w:rFonts w:hint="eastAsia" w:ascii="宋体" w:hAnsi="宋体" w:eastAsia="宋体" w:cs="宋体"/>
                <w:color w:val="auto"/>
                <w:spacing w:val="0"/>
                <w:sz w:val="21"/>
                <w:szCs w:val="21"/>
                <w:highlight w:val="none"/>
              </w:rPr>
              <w:t xml:space="preserve">总监具备工程建设类高级及以上职称的得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具</w:t>
            </w:r>
            <w:r>
              <w:rPr>
                <w:rFonts w:hint="eastAsia" w:ascii="宋体" w:hAnsi="宋体" w:eastAsia="宋体" w:cs="宋体"/>
                <w:color w:val="auto"/>
                <w:spacing w:val="0"/>
                <w:sz w:val="21"/>
                <w:szCs w:val="21"/>
                <w:highlight w:val="none"/>
              </w:rPr>
              <w:t xml:space="preserve">有</w:t>
            </w:r>
            <w:r>
              <w:rPr>
                <w:rFonts w:hint="eastAsia" w:ascii="宋体" w:hAnsi="宋体" w:eastAsia="宋体" w:cs="宋体"/>
                <w:color w:val="auto"/>
                <w:spacing w:val="0"/>
                <w:sz w:val="21"/>
                <w:szCs w:val="21"/>
                <w:highlight w:val="none"/>
                <w:lang w:val="en-US" w:eastAsia="zh-CN"/>
              </w:rPr>
              <w:t xml:space="preserve">建设工程类其他注册证书的</w:t>
            </w:r>
            <w:r>
              <w:rPr>
                <w:rFonts w:hint="eastAsia" w:ascii="宋体" w:hAnsi="宋体" w:eastAsia="宋体" w:cs="宋体"/>
                <w:color w:val="auto"/>
                <w:spacing w:val="0"/>
                <w:sz w:val="21"/>
                <w:szCs w:val="21"/>
                <w:highlight w:val="none"/>
              </w:rPr>
              <w:t xml:space="preserve">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共6分。</w:t>
            </w:r>
            <w:r>
              <w:rPr>
                <w:rFonts w:hint="eastAsia" w:ascii="宋体" w:hAnsi="宋体" w:eastAsia="宋体" w:cs="宋体"/>
                <w:b/>
                <w:bCs/>
                <w:color w:val="auto"/>
                <w:spacing w:val="0"/>
                <w:sz w:val="21"/>
                <w:szCs w:val="21"/>
                <w:highlight w:val="none"/>
              </w:rPr>
              <w:t xml:space="preserve">（</w:t>
            </w:r>
            <w:r>
              <w:rPr>
                <w:rFonts w:hint="eastAsia" w:ascii="宋体" w:hAnsi="宋体" w:eastAsia="宋体" w:cs="宋体"/>
                <w:b/>
                <w:bCs/>
                <w:color w:val="auto"/>
                <w:spacing w:val="0"/>
                <w:sz w:val="21"/>
                <w:szCs w:val="21"/>
                <w:highlight w:val="none"/>
                <w:lang w:val="en-US" w:eastAsia="zh-CN"/>
              </w:rPr>
              <w:t xml:space="preserve">提供</w:t>
            </w:r>
            <w:r>
              <w:rPr>
                <w:rFonts w:hint="eastAsia" w:ascii="宋体" w:hAnsi="宋体" w:eastAsia="宋体" w:cs="宋体"/>
                <w:b/>
                <w:bCs/>
                <w:color w:val="auto"/>
                <w:spacing w:val="0"/>
                <w:sz w:val="21"/>
                <w:szCs w:val="21"/>
                <w:highlight w:val="none"/>
              </w:rPr>
              <w:t xml:space="preserve">证书原件扫描上传</w:t>
            </w:r>
            <w:r>
              <w:rPr>
                <w:rFonts w:hint="eastAsia" w:ascii="宋体" w:hAnsi="宋体" w:eastAsia="宋体" w:cs="宋体"/>
                <w:b/>
                <w:bCs/>
                <w:color w:val="auto"/>
                <w:spacing w:val="0"/>
                <w:sz w:val="21"/>
                <w:szCs w:val="21"/>
                <w:highlight w:val="none"/>
                <w:lang w:val="en-US" w:eastAsia="zh-CN"/>
              </w:rPr>
              <w:t xml:space="preserve">，未提供不得分</w:t>
            </w:r>
            <w:r>
              <w:rPr>
                <w:rFonts w:hint="eastAsia" w:ascii="宋体" w:hAnsi="宋体" w:eastAsia="宋体" w:cs="宋体"/>
                <w:b/>
                <w:bCs/>
                <w:color w:val="auto"/>
                <w:spacing w:val="0"/>
                <w:sz w:val="21"/>
                <w:szCs w:val="21"/>
                <w:highlight w:val="none"/>
              </w:rPr>
              <w:t xml:space="preserve">）</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6</w:t>
            </w:r>
            <w:r/>
          </w:p>
        </w:tc>
      </w:tr>
      <w:tr>
        <w:trPr>
          <w:jc w:val="center"/>
          <w:trHeight w:val="567"/>
        </w:trPr>
        <w:tc>
          <w:tcPr>
            <w:tcW w:w="67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类似业绩</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10</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p>
        </w:tc>
        <w:tc>
          <w:tcPr>
            <w:gridSpan w:val="2"/>
            <w:tcW w:w="393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202</w:t>
            </w:r>
            <w:r>
              <w:rPr>
                <w:rFonts w:hint="eastAsia" w:ascii="宋体" w:hAnsi="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lang w:val="en-US" w:eastAsia="zh-CN"/>
              </w:rPr>
              <w:t xml:space="preserve">年1月1日</w:t>
            </w:r>
            <w:r>
              <w:rPr>
                <w:rFonts w:hint="eastAsia" w:ascii="宋体" w:hAnsi="宋体" w:eastAsia="宋体" w:cs="宋体"/>
                <w:color w:val="auto"/>
                <w:spacing w:val="0"/>
                <w:sz w:val="21"/>
                <w:szCs w:val="21"/>
                <w:highlight w:val="none"/>
              </w:rPr>
              <w:t xml:space="preserve">以来，</w:t>
            </w:r>
            <w:r>
              <w:rPr>
                <w:rFonts w:hint="eastAsia" w:ascii="宋体" w:hAnsi="宋体" w:eastAsia="宋体" w:cs="宋体"/>
                <w:color w:val="auto"/>
                <w:spacing w:val="0"/>
                <w:sz w:val="21"/>
                <w:szCs w:val="21"/>
                <w:highlight w:val="none"/>
                <w:lang w:val="en-US" w:eastAsia="zh-CN"/>
              </w:rPr>
              <w:t xml:space="preserve">供应商承担过类似项目</w:t>
            </w:r>
            <w:r>
              <w:rPr>
                <w:rFonts w:hint="eastAsia" w:ascii="宋体" w:hAnsi="宋体" w:eastAsia="宋体" w:cs="宋体"/>
                <w:color w:val="auto"/>
                <w:spacing w:val="0"/>
                <w:sz w:val="21"/>
                <w:szCs w:val="21"/>
                <w:highlight w:val="none"/>
              </w:rPr>
              <w:t xml:space="preserve">监理业绩的，每有一个得</w:t>
            </w:r>
            <w:r>
              <w:rPr>
                <w:rFonts w:hint="eastAsia" w:ascii="宋体" w:hAnsi="宋体" w:eastAsia="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val="en-US" w:eastAsia="zh-CN"/>
              </w:rPr>
              <w:t xml:space="preserve">满分10</w:t>
            </w:r>
            <w:r>
              <w:rPr>
                <w:rFonts w:hint="eastAsia" w:ascii="宋体" w:hAnsi="宋体" w:eastAsia="宋体" w:cs="宋体"/>
                <w:color w:val="auto"/>
                <w:spacing w:val="0"/>
                <w:sz w:val="21"/>
                <w:szCs w:val="21"/>
                <w:highlight w:val="none"/>
              </w:rPr>
              <w:t xml:space="preserve">分。</w:t>
            </w:r>
            <w:r>
              <w:rPr>
                <w:rFonts w:hint="eastAsia" w:ascii="宋体" w:hAnsi="宋体" w:eastAsia="宋体" w:cs="宋体"/>
                <w:b/>
                <w:bCs/>
                <w:color w:val="auto"/>
                <w:spacing w:val="0"/>
                <w:sz w:val="21"/>
                <w:szCs w:val="21"/>
                <w:highlight w:val="none"/>
              </w:rPr>
              <w:t xml:space="preserve">（业绩时间以竣工验收证明时间为准</w:t>
            </w: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lang w:val="en-US" w:eastAsia="zh-CN"/>
              </w:rPr>
              <w:t xml:space="preserve">提供原件扫描件上传，未提供不得分）</w:t>
            </w:r>
            <w:r/>
          </w:p>
          <w:p>
            <w:pPr>
              <w:jc w:val="left"/>
              <w:keepLines w:val="0"/>
              <w:keepNext w:val="0"/>
              <w:pageBreakBefore w:val="0"/>
              <w:spacing w:line="24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b/>
                <w:bCs/>
                <w:color w:val="auto"/>
                <w:spacing w:val="0"/>
                <w:sz w:val="21"/>
                <w:szCs w:val="21"/>
                <w:highlight w:val="none"/>
                <w:lang w:val="en-US" w:eastAsia="zh-CN"/>
              </w:rPr>
              <w:t xml:space="preserve">注：业绩应同时提供以下资料：1、依法承发包的交易结果（中标或成交）文件；2、监理合同；3、符合国家规定的竣工验收证明材料；4、其他证明资料（如有）。依法承发包的交易结果文件包括中标通知书、直接发包通知书（或备案表）和成交通知书等；依法可以不进行招标的项目，可以提供委托人单位或招标代理机构出具的有关中标文件。</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10</w:t>
            </w:r>
            <w:r/>
          </w:p>
        </w:tc>
      </w:tr>
      <w:tr>
        <w:trPr>
          <w:jc w:val="center"/>
          <w:trHeight w:val="567"/>
        </w:trPr>
        <w:tc>
          <w:tcPr>
            <w:tcW w:w="67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拟投入现场的仪器、检测设备</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8</w:t>
            </w:r>
            <w:r>
              <w:rPr>
                <w:rFonts w:hint="eastAsia" w:ascii="宋体" w:hAnsi="宋体" w:eastAsia="宋体" w:cs="宋体"/>
                <w:color w:val="auto"/>
                <w:spacing w:val="0"/>
                <w:sz w:val="21"/>
                <w:szCs w:val="21"/>
                <w:highlight w:val="none"/>
              </w:rPr>
              <w:t xml:space="preserve">分）</w:t>
            </w:r>
            <w:r/>
          </w:p>
        </w:tc>
        <w:tc>
          <w:tcPr>
            <w:gridSpan w:val="2"/>
            <w:tcW w:w="3937" w:type="pct"/>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拟投入本项目的</w:t>
            </w:r>
            <w:r>
              <w:rPr>
                <w:rFonts w:hint="eastAsia" w:ascii="宋体" w:hAnsi="宋体" w:eastAsia="宋体" w:cs="宋体"/>
                <w:color w:val="auto"/>
                <w:spacing w:val="0"/>
                <w:sz w:val="21"/>
                <w:szCs w:val="21"/>
                <w:highlight w:val="none"/>
              </w:rPr>
              <w:t xml:space="preserve">全站仪、经纬仪、水准仪、回弹仪、钢筋位置测定仪、测距仪、游标卡尺、</w:t>
            </w:r>
            <w:r>
              <w:rPr>
                <w:rFonts w:hint="eastAsia" w:ascii="宋体" w:hAnsi="宋体" w:eastAsia="宋体" w:cs="宋体"/>
                <w:color w:val="auto"/>
                <w:spacing w:val="0"/>
                <w:sz w:val="21"/>
                <w:szCs w:val="21"/>
                <w:highlight w:val="none"/>
                <w:lang w:val="en-US" w:eastAsia="zh-CN"/>
              </w:rPr>
              <w:t xml:space="preserve">接地电阻测试仪，上述</w:t>
            </w:r>
            <w:r>
              <w:rPr>
                <w:rFonts w:hint="eastAsia" w:ascii="宋体" w:hAnsi="宋体" w:eastAsia="宋体" w:cs="宋体"/>
                <w:color w:val="auto"/>
                <w:spacing w:val="0"/>
                <w:sz w:val="21"/>
                <w:szCs w:val="21"/>
                <w:highlight w:val="none"/>
              </w:rPr>
              <w:t xml:space="preserve">检测仪器设备</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全部具备的得8分，缺一个扣1分，扣完为止</w:t>
            </w:r>
            <w:r>
              <w:rPr>
                <w:rFonts w:hint="eastAsia" w:ascii="宋体" w:hAnsi="宋体" w:eastAsia="宋体" w:cs="宋体"/>
                <w:color w:val="auto"/>
                <w:spacing w:val="0"/>
                <w:sz w:val="21"/>
                <w:szCs w:val="21"/>
                <w:highlight w:val="none"/>
              </w:rPr>
              <w:t xml:space="preserve">。</w:t>
            </w:r>
            <w:r>
              <w:rPr>
                <w:rFonts w:hint="eastAsia" w:ascii="宋体" w:hAnsi="宋体" w:eastAsia="宋体" w:cs="宋体"/>
                <w:b/>
                <w:bCs/>
                <w:color w:val="auto"/>
                <w:spacing w:val="0"/>
                <w:sz w:val="21"/>
                <w:szCs w:val="21"/>
                <w:highlight w:val="none"/>
                <w:lang w:val="en-US" w:eastAsia="zh-CN"/>
              </w:rPr>
              <w:t xml:space="preserve">（</w:t>
            </w:r>
            <w:r>
              <w:rPr>
                <w:rFonts w:hint="eastAsia" w:ascii="宋体" w:hAnsi="宋体" w:eastAsia="宋体" w:cs="宋体"/>
                <w:b/>
                <w:bCs/>
                <w:color w:val="auto"/>
                <w:spacing w:val="0"/>
                <w:sz w:val="21"/>
                <w:szCs w:val="21"/>
                <w:highlight w:val="none"/>
                <w:lang w:val="zh-CN"/>
              </w:rPr>
              <w:t xml:space="preserve">提供</w:t>
            </w:r>
            <w:r>
              <w:rPr>
                <w:rFonts w:hint="eastAsia" w:ascii="宋体" w:hAnsi="宋体" w:eastAsia="宋体" w:cs="宋体"/>
                <w:b/>
                <w:bCs/>
                <w:color w:val="auto"/>
                <w:spacing w:val="0"/>
                <w:sz w:val="21"/>
                <w:szCs w:val="21"/>
                <w:highlight w:val="none"/>
                <w:lang w:val="en-US" w:eastAsia="zh-CN"/>
              </w:rPr>
              <w:t xml:space="preserve">仪器有效期内的校准证书原件或</w:t>
            </w:r>
            <w:r>
              <w:rPr>
                <w:rFonts w:hint="eastAsia" w:ascii="宋体" w:hAnsi="宋体" w:eastAsia="宋体" w:cs="宋体"/>
                <w:b/>
                <w:bCs/>
                <w:color w:val="auto"/>
                <w:spacing w:val="0"/>
                <w:sz w:val="21"/>
                <w:szCs w:val="21"/>
                <w:highlight w:val="none"/>
                <w:lang w:val="zh-CN"/>
              </w:rPr>
              <w:t xml:space="preserve">发票</w:t>
            </w:r>
            <w:r>
              <w:rPr>
                <w:rFonts w:hint="eastAsia" w:ascii="宋体" w:hAnsi="宋体" w:eastAsia="宋体" w:cs="宋体"/>
                <w:b/>
                <w:bCs/>
                <w:color w:val="auto"/>
                <w:spacing w:val="0"/>
                <w:sz w:val="21"/>
                <w:szCs w:val="21"/>
                <w:highlight w:val="none"/>
                <w:lang w:val="en-US" w:eastAsia="zh-CN"/>
              </w:rPr>
              <w:t xml:space="preserve">原件或</w:t>
            </w:r>
            <w:r>
              <w:rPr>
                <w:rFonts w:hint="eastAsia" w:ascii="宋体" w:hAnsi="宋体" w:eastAsia="宋体" w:cs="宋体"/>
                <w:b/>
                <w:bCs/>
                <w:color w:val="auto"/>
                <w:spacing w:val="0"/>
                <w:sz w:val="21"/>
                <w:szCs w:val="21"/>
                <w:highlight w:val="none"/>
                <w:lang w:val="zh-CN"/>
              </w:rPr>
              <w:t xml:space="preserve">租赁合同</w:t>
            </w:r>
            <w:r>
              <w:rPr>
                <w:rFonts w:hint="eastAsia" w:ascii="宋体" w:hAnsi="宋体" w:eastAsia="宋体" w:cs="宋体"/>
                <w:b/>
                <w:bCs/>
                <w:color w:val="auto"/>
                <w:spacing w:val="0"/>
                <w:sz w:val="21"/>
                <w:szCs w:val="21"/>
                <w:highlight w:val="none"/>
                <w:lang w:val="en-US" w:eastAsia="zh-CN"/>
              </w:rPr>
              <w:t xml:space="preserve">原件</w:t>
            </w:r>
            <w:r>
              <w:rPr>
                <w:rFonts w:hint="eastAsia" w:ascii="宋体" w:hAnsi="宋体" w:eastAsia="宋体" w:cs="宋体"/>
                <w:b/>
                <w:bCs/>
                <w:color w:val="auto"/>
                <w:spacing w:val="0"/>
                <w:sz w:val="21"/>
                <w:szCs w:val="21"/>
                <w:highlight w:val="none"/>
                <w:lang w:val="zh-CN"/>
              </w:rPr>
              <w:t xml:space="preserve">或承诺在</w:t>
            </w:r>
            <w:r>
              <w:rPr>
                <w:rFonts w:hint="eastAsia" w:ascii="宋体" w:hAnsi="宋体" w:eastAsia="宋体" w:cs="宋体"/>
                <w:b/>
                <w:bCs/>
                <w:color w:val="auto"/>
                <w:spacing w:val="0"/>
                <w:sz w:val="21"/>
                <w:szCs w:val="21"/>
                <w:highlight w:val="none"/>
                <w:lang w:val="en-US" w:eastAsia="zh-CN"/>
              </w:rPr>
              <w:t xml:space="preserve">成交</w:t>
            </w:r>
            <w:r>
              <w:rPr>
                <w:rFonts w:hint="eastAsia" w:ascii="宋体" w:hAnsi="宋体" w:eastAsia="宋体" w:cs="宋体"/>
                <w:b/>
                <w:bCs/>
                <w:color w:val="auto"/>
                <w:spacing w:val="0"/>
                <w:sz w:val="21"/>
                <w:szCs w:val="21"/>
                <w:highlight w:val="none"/>
                <w:lang w:val="zh-CN"/>
              </w:rPr>
              <w:t xml:space="preserve">后按采购人要求及时限提供到位的承诺函</w:t>
            </w:r>
            <w:r>
              <w:rPr>
                <w:rFonts w:hint="eastAsia" w:ascii="宋体" w:hAnsi="宋体" w:eastAsia="宋体" w:cs="宋体"/>
                <w:b/>
                <w:bCs/>
                <w:color w:val="auto"/>
                <w:spacing w:val="0"/>
                <w:sz w:val="21"/>
                <w:szCs w:val="21"/>
                <w:highlight w:val="none"/>
                <w:lang w:val="en-US" w:eastAsia="zh-CN"/>
              </w:rPr>
              <w:t xml:space="preserve">原件扫描上传，未提供不得分）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8</w:t>
            </w:r>
            <w:r/>
          </w:p>
        </w:tc>
      </w:tr>
      <w:tr>
        <w:trPr>
          <w:jc w:val="center"/>
          <w:trHeight w:val="567"/>
        </w:trPr>
        <w:tc>
          <w:tcPr>
            <w:tcW w:w="67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服务承诺</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分）</w:t>
            </w:r>
            <w:r/>
          </w:p>
        </w:tc>
        <w:tc>
          <w:tcPr>
            <w:gridSpan w:val="2"/>
            <w:tcW w:w="3937" w:type="pct"/>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服务承诺的内容主要是项目实施阶段技术人员到位</w:t>
            </w:r>
            <w:r>
              <w:rPr>
                <w:rFonts w:hint="eastAsia" w:ascii="宋体" w:hAnsi="宋体" w:eastAsia="宋体" w:cs="宋体"/>
                <w:color w:val="auto"/>
                <w:spacing w:val="0"/>
                <w:sz w:val="21"/>
                <w:szCs w:val="21"/>
                <w:highlight w:val="none"/>
                <w:lang w:val="en-US" w:eastAsia="zh-CN"/>
              </w:rPr>
              <w:t xml:space="preserve">情况</w:t>
            </w:r>
            <w:r>
              <w:rPr>
                <w:rFonts w:hint="eastAsia" w:ascii="宋体" w:hAnsi="宋体" w:eastAsia="宋体" w:cs="宋体"/>
                <w:color w:val="auto"/>
                <w:spacing w:val="0"/>
                <w:sz w:val="21"/>
                <w:szCs w:val="21"/>
                <w:highlight w:val="none"/>
              </w:rPr>
              <w:t xml:space="preserve">以及项目完成后的跟踪服务。</w:t>
            </w:r>
            <w:r/>
          </w:p>
          <w:p>
            <w:pPr>
              <w:jc w:val="left"/>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服务承诺合理、切合实际</w:t>
            </w: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完全满足采购人要求</w:t>
            </w:r>
            <w:r>
              <w:rPr>
                <w:rFonts w:hint="eastAsia" w:ascii="宋体" w:hAnsi="宋体" w:eastAsia="宋体" w:cs="宋体"/>
                <w:color w:val="auto"/>
                <w:spacing w:val="0"/>
                <w:sz w:val="21"/>
                <w:szCs w:val="21"/>
                <w:highlight w:val="none"/>
              </w:rPr>
              <w:t xml:space="preserve">的得</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分；</w:t>
            </w:r>
            <w:r/>
          </w:p>
          <w:p>
            <w:pPr>
              <w:jc w:val="left"/>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服务承诺较切合实际、较合理的</w:t>
            </w:r>
            <w:r>
              <w:rPr>
                <w:rFonts w:hint="eastAsia" w:ascii="宋体" w:hAnsi="宋体" w:eastAsia="宋体" w:cs="宋体"/>
                <w:color w:val="auto"/>
                <w:spacing w:val="0"/>
                <w:sz w:val="21"/>
                <w:szCs w:val="21"/>
                <w:highlight w:val="none"/>
              </w:rPr>
              <w:t xml:space="preserve">得</w:t>
            </w: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服务承诺合理性差</w:t>
            </w: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基本满足采购人要求</w:t>
            </w:r>
            <w:r>
              <w:rPr>
                <w:rFonts w:hint="eastAsia" w:ascii="宋体" w:hAnsi="宋体" w:eastAsia="宋体" w:cs="宋体"/>
                <w:color w:val="auto"/>
                <w:spacing w:val="0"/>
                <w:sz w:val="21"/>
                <w:szCs w:val="21"/>
                <w:highlight w:val="none"/>
              </w:rPr>
              <w:t xml:space="preserve">的得</w:t>
            </w:r>
            <w:r>
              <w:rPr>
                <w:rFonts w:hint="eastAsia" w:ascii="宋体" w:hAnsi="宋体" w:eastAsia="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分；</w:t>
            </w:r>
            <w:r/>
          </w:p>
          <w:p>
            <w:pPr>
              <w:jc w:val="left"/>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6</w:t>
            </w:r>
            <w:r/>
          </w:p>
        </w:tc>
      </w:tr>
    </w:tbl>
    <w:p>
      <w:pPr>
        <w:pStyle w:val="797"/>
        <w:jc w:val="center"/>
        <w:rPr>
          <w:rFonts w:ascii="宋体" w:hAnsi="宋体"/>
          <w:color w:val="auto"/>
          <w:highlight w:val="none"/>
        </w:rPr>
      </w:pPr>
      <w:r>
        <w:rPr>
          <w:rFonts w:ascii="宋体" w:hAnsi="宋体"/>
          <w:color w:val="auto"/>
          <w:highlight w:val="none"/>
        </w:rPr>
      </w:r>
      <w:r/>
    </w:p>
    <w:p>
      <w:pPr>
        <w:rPr>
          <w:color w:val="auto"/>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797"/>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798"/>
        <w:numPr>
          <w:ilvl w:val="0"/>
          <w:numId w:val="0"/>
        </w:numPr>
        <w:jc w:val="center"/>
        <w:rPr>
          <w:rFonts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807"/>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w:t>
            </w:r>
            <w:r>
              <w:rPr>
                <w:rFonts w:hint="eastAsia" w:ascii="宋体" w:hAnsi="宋体" w:cs="宋体"/>
                <w:b/>
                <w:bCs/>
                <w:color w:val="auto"/>
                <w:szCs w:val="21"/>
                <w:highlight w:val="none"/>
                <w:lang w:eastAsia="zh-CN"/>
              </w:rPr>
              <w:t xml:space="preserve">份</w:t>
            </w:r>
            <w:r>
              <w:rPr>
                <w:rFonts w:hint="eastAsia" w:ascii="宋体" w:hAnsi="宋体" w:cs="宋体"/>
                <w:b/>
                <w:bCs/>
                <w:color w:val="auto"/>
                <w:szCs w:val="21"/>
                <w:highlight w:val="none"/>
              </w:rPr>
              <w:t xml:space="preserve">缴纳职工社会保障资金的缴款凭证或缴款证明)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447" w:type="dxa"/>
            <w:vAlign w:val="center"/>
            <w:textDirection w:val="lrTb"/>
            <w:noWrap w:val="false"/>
          </w:tcPr>
          <w:p>
            <w:pPr>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根据《政府采购促进中小企业发展管理办法》规定，本项目专门面向中小企业采购，投标人应在投标文件中按要求提供《中小企业声明函》。</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
              </w:rPr>
              <w:t xml:space="preserve">本项目采购标的按中小企业划分标准所属行业区分为：</w:t>
            </w:r>
            <w:r>
              <w:rPr>
                <w:rFonts w:hint="eastAsia" w:ascii="宋体" w:hAnsi="宋体" w:cs="宋体"/>
                <w:color w:val="auto"/>
                <w:szCs w:val="21"/>
                <w:highlight w:val="none"/>
                <w:lang w:eastAsia="zh-CN"/>
              </w:rPr>
              <w:t xml:space="preserve">其他未列明行业</w:t>
            </w:r>
            <w:r>
              <w:rPr>
                <w:rFonts w:hint="eastAsia" w:ascii="宋体" w:hAnsi="宋体" w:cs="宋体"/>
                <w:color w:val="auto"/>
                <w:szCs w:val="21"/>
                <w:highlight w:val="none"/>
                <w:lang w:val="en"/>
              </w:rPr>
              <w:t xml:space="preserve">（中小微企业划型标准网</w:t>
            </w:r>
            <w:r>
              <w:rPr>
                <w:rFonts w:hint="eastAsia" w:ascii="宋体" w:hAnsi="宋体" w:cs="宋体"/>
                <w:color w:val="auto"/>
                <w:szCs w:val="21"/>
                <w:highlight w:val="none"/>
                <w:lang w:val="en"/>
              </w:rPr>
              <w:fldChar w:fldCharType="begin"/>
            </w:r>
            <w:r>
              <w:rPr>
                <w:rFonts w:hint="eastAsia" w:ascii="宋体" w:hAnsi="宋体" w:cs="宋体"/>
                <w:color w:val="auto"/>
                <w:szCs w:val="21"/>
                <w:highlight w:val="none"/>
                <w:lang w:val="en"/>
              </w:rPr>
              <w:instrText xml:space="preserve"> HYPERLINK "http://www.ccgp.gov.cn/zcfg/mof/201310/t20131029_3587674.htm" </w:instrText>
            </w:r>
            <w:r>
              <w:rPr>
                <w:rFonts w:hint="eastAsia" w:ascii="宋体" w:hAnsi="宋体" w:cs="宋体"/>
                <w:color w:val="auto"/>
                <w:szCs w:val="21"/>
                <w:highlight w:val="none"/>
                <w:lang w:val="en"/>
              </w:rPr>
              <w:fldChar w:fldCharType="separate"/>
            </w:r>
            <w:r>
              <w:rPr>
                <w:rFonts w:hint="eastAsia" w:ascii="宋体" w:hAnsi="宋体" w:cs="宋体"/>
                <w:color w:val="auto"/>
                <w:szCs w:val="21"/>
                <w:highlight w:val="none"/>
                <w:lang w:val="en"/>
              </w:rPr>
              <w:t xml:space="preserve">http://www.ccgp.gov.cn/zcfg/mof/201310/t20131029_3587674.htm</w:t>
            </w:r>
            <w:r>
              <w:rPr>
                <w:rFonts w:hint="eastAsia" w:ascii="宋体" w:hAnsi="宋体" w:cs="宋体"/>
                <w:color w:val="auto"/>
                <w:szCs w:val="21"/>
                <w:highlight w:val="none"/>
                <w:lang w:val="en"/>
              </w:rPr>
              <w:fldChar w:fldCharType="end"/>
            </w:r>
            <w:r>
              <w:rPr>
                <w:rFonts w:hint="eastAsia" w:ascii="宋体" w:hAnsi="宋体" w:cs="宋体"/>
                <w:color w:val="auto"/>
                <w:szCs w:val="21"/>
                <w:highlight w:val="none"/>
                <w:lang w:val="en"/>
              </w:rPr>
              <w:t xml:space="preserve">）</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3"/>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567"/>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shd w:val="clear" w:color="auto" w:fill="auto"/>
            <w:tcW w:w="5447" w:type="dxa"/>
            <w:vAlign w:val="center"/>
            <w:textDirection w:val="lrTb"/>
            <w:noWrap w:val="false"/>
          </w:tcPr>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供应商须具备国家建设行政主管部门颁发的工程监理综合甲级资质或市政公用工程监理乙级及以上资质。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3.2</w:t>
            </w:r>
            <w:r>
              <w:rPr>
                <w:rFonts w:hint="eastAsia" w:ascii="宋体" w:hAnsi="宋体" w:cs="宋体"/>
                <w:color w:val="auto"/>
                <w:szCs w:val="21"/>
                <w:highlight w:val="none"/>
              </w:rPr>
              <w:t xml:space="preserve">供应商拟派总监理工程师的要求：</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（1）具备国家注册监理工程师（市政公用工程专业）资格；（提供证书原件扫描上传）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（2）项目总监无在手工程；（提供江苏省建筑市场监管与诚信信息一体化平台网页截图）</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项目总监必须经投标供应商任命。项目总监不得同时在两个或者两个以上单位受聘或者执业：①同时在两个及以上单位签订劳动合同或交纳社会保险；②将本人执（职）业资格证书同时注册在两个及以上单位。</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3.3</w:t>
            </w:r>
            <w:r>
              <w:rPr>
                <w:rFonts w:hint="eastAsia" w:ascii="宋体" w:hAnsi="宋体" w:cs="宋体"/>
                <w:color w:val="auto"/>
                <w:szCs w:val="21"/>
                <w:highlight w:val="none"/>
              </w:rPr>
              <w:t xml:space="preserve">供应商拟派专业监理工程师的要求</w:t>
            </w:r>
            <w:bookmarkStart w:id="48" w:name="_GoBack"/>
            <w:r/>
            <w:bookmarkEnd w:id="48"/>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主专业监理工程师1人【专业要求：公路与城市道路工程或桥梁工程或交通工程或交通土建或土木工程（道路与桥梁方向）或公路施工与养护或道路交通管理工程或给水排水工程等相关或相近专业】（提供证书原件扫描上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3.4</w:t>
            </w:r>
            <w:r>
              <w:rPr>
                <w:rFonts w:hint="eastAsia" w:ascii="宋体" w:hAnsi="宋体" w:cs="宋体"/>
                <w:color w:val="auto"/>
                <w:szCs w:val="21"/>
                <w:highlight w:val="none"/>
              </w:rPr>
              <w:t xml:space="preserve">供应商拟派监理员的要求：</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人。（提供证书原件扫描上传）</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3.5</w:t>
            </w:r>
            <w:r>
              <w:rPr>
                <w:rFonts w:hint="eastAsia" w:ascii="宋体" w:hAnsi="宋体" w:cs="宋体"/>
                <w:color w:val="auto"/>
                <w:szCs w:val="21"/>
                <w:highlight w:val="none"/>
              </w:rPr>
              <w:t xml:space="preserve">供应商为授权委托人、拟派总监理工程师缴纳近</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个月内任意一个月在职职工社保证明材料（已取消书面证明采用网上自助查询方式的，如当地社保管理部门明确的最大查询期与招标文件规定的月份不一致时，须提供社保管理部门的文件规定，军队或高校设计院可提供上级主管部门出具的人事证明材料。退休返聘人员需提供退休证、返聘合同等证明材料原件扫描上传）</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其他</w:t>
            </w:r>
            <w:r/>
          </w:p>
        </w:tc>
      </w:tr>
      <w:tr>
        <w:trPr>
          <w:trHeight w:val="400"/>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13</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18"/>
        <w:ind w:firstLine="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致：江苏唯诚建设咨询有限公司</w:t>
      </w:r>
      <w:r/>
    </w:p>
    <w:p>
      <w:pPr>
        <w:pStyle w:val="11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lang w:eastAsia="zh-CN"/>
        </w:rPr>
        <w:t xml:space="preserve">JSZC-321012-JSWC-G2025-0080</w:t>
      </w:r>
      <w:r>
        <w:rPr>
          <w:rFonts w:hint="eastAsia" w:ascii="宋体" w:hAnsi="宋体"/>
          <w:color w:val="auto"/>
          <w:sz w:val="21"/>
          <w:szCs w:val="21"/>
          <w:highlight w:val="none"/>
        </w:rPr>
        <w:t xml:space="preserve">号招标文件，正式授权下述签字人_________________(姓名)代表我方______________（投标人的名称），全权处理本次项目投标的有关事宜。</w:t>
      </w:r>
      <w:r/>
    </w:p>
    <w:p>
      <w:pPr>
        <w:pStyle w:val="11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1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18"/>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1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1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1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1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1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1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2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2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25"/>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112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25"/>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25"/>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25"/>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25"/>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w:t>
      </w:r>
      <w:r/>
    </w:p>
    <w:p>
      <w:pPr>
        <w:pStyle w:val="798"/>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0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798"/>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0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keepLines w:val="0"/>
        <w:keepNext w:val="0"/>
        <w:pageBreakBefore w:val="0"/>
        <w:spacing w:line="360" w:lineRule="auto"/>
        <w:widowControl w:val="off"/>
        <w:rPr>
          <w:rFonts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ascii="宋体" w:hAnsi="宋体" w:cs="宋体"/>
          <w:color w:val="auto"/>
          <w:szCs w:val="21"/>
          <w:highlight w:val="none"/>
          <w:u w:val="single"/>
        </w:rPr>
        <w:t xml:space="preserve">其他未列明服务</w:t>
      </w:r>
      <w:r>
        <w:rPr>
          <w:rFonts w:hint="eastAsia" w:ascii="宋体" w:hAnsi="宋体" w:cs="宋体"/>
          <w:color w:val="auto"/>
          <w:highlight w:val="non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pStyle w:val="798"/>
        <w:numPr>
          <w:ilvl w:val="0"/>
          <w:numId w:val="0"/>
        </w:numPr>
        <w:jc w:val="center"/>
        <w:spacing w:line="360" w:lineRule="auto"/>
        <w:widowControl/>
        <w:rPr>
          <w:rFonts w:ascii="宋体" w:hAnsi="宋体" w:cs="微软雅黑"/>
          <w:bCs w:val="0"/>
          <w:color w:val="auto"/>
          <w:sz w:val="21"/>
          <w:szCs w:val="21"/>
          <w:highlight w:val="none"/>
        </w:rPr>
        <w:sectPr>
          <w:headerReference w:type="default" r:id="rId11"/>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微软雅黑"/>
          <w:bCs w:val="0"/>
          <w:color w:val="auto"/>
          <w:sz w:val="21"/>
          <w:szCs w:val="21"/>
          <w:highlight w:val="none"/>
        </w:rPr>
      </w:r>
      <w:r/>
    </w:p>
    <w:p>
      <w:pPr>
        <w:pStyle w:val="798"/>
        <w:numPr>
          <w:ilvl w:val="0"/>
          <w:numId w:val="0"/>
        </w:numPr>
        <w:jc w:val="center"/>
        <w:spacing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838"/>
        <w:ind w:firstLine="420"/>
        <w:spacing w:before="300" w:after="452"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中小微企业划型标准如下：</w:t>
      </w:r>
      <w:r/>
    </w:p>
    <w:tbl>
      <w:tblPr>
        <w:tblStyle w:val="807"/>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71"/>
        <w:gridCol w:w="1985"/>
        <w:gridCol w:w="1984"/>
        <w:gridCol w:w="120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X＜10</w:t>
            </w:r>
            <w:r/>
          </w:p>
        </w:tc>
      </w:tr>
    </w:tbl>
    <w:p>
      <w:pPr>
        <w:pStyle w:val="838"/>
        <w:ind w:firstLine="462"/>
        <w:spacing w:before="300" w:after="452" w:line="360" w:lineRule="auto"/>
        <w:widowControl/>
        <w:rPr>
          <w:rStyle w:val="844"/>
          <w:rFonts w:ascii="宋体" w:hAnsi="宋体" w:cs="仿宋"/>
          <w:color w:val="auto"/>
          <w:sz w:val="21"/>
          <w:szCs w:val="21"/>
          <w:highlight w:val="none"/>
        </w:rPr>
      </w:pPr>
      <w:r>
        <w:rPr>
          <w:rStyle w:val="844"/>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799"/>
        <w:numPr>
          <w:ilvl w:val="0"/>
          <w:numId w:val="0"/>
        </w:numPr>
        <w:jc w:val="center"/>
        <w:rPr>
          <w:rFonts w:hint="eastAsia" w:ascii="宋体" w:hAnsi="宋体"/>
          <w:b w:val="0"/>
          <w:color w:val="auto"/>
          <w:sz w:val="32"/>
          <w:highlight w:val="none"/>
        </w:rPr>
      </w:pPr>
      <w:r>
        <w:rPr>
          <w:rStyle w:val="844"/>
          <w:rFonts w:cs="仿宋"/>
          <w:b w:val="0"/>
          <w:bCs w:val="0"/>
          <w:color w:val="auto"/>
          <w:sz w:val="21"/>
          <w:szCs w:val="21"/>
          <w:highlight w:val="none"/>
        </w:rPr>
        <w:br w:type="page" w:clear="all"/>
      </w:r>
      <w:r>
        <w:rPr>
          <w:rFonts w:hint="eastAsia" w:ascii="宋体" w:hAnsi="宋体"/>
          <w:b w:val="0"/>
          <w:color w:val="auto"/>
          <w:sz w:val="32"/>
          <w:highlight w:val="none"/>
        </w:rPr>
        <w:t xml:space="preserve">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tbl>
      <w:tblPr>
        <w:tblStyle w:val="807"/>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814"/>
              <w:jc w:val="center"/>
              <w:spacing w:line="30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投标服务名称</w:t>
            </w:r>
            <w:r/>
          </w:p>
        </w:tc>
        <w:tc>
          <w:tcPr>
            <w:tcW w:w="6143"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377" w:type="dxa"/>
            <w:vAlign w:val="center"/>
            <w:textDirection w:val="lrTb"/>
            <w:noWrap w:val="false"/>
          </w:tcPr>
          <w:p>
            <w:pPr>
              <w:pStyle w:val="814"/>
              <w:spacing w:line="300" w:lineRule="auto"/>
              <w:rPr>
                <w:rFonts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lang w:val="en-US" w:eastAsia="zh-CN"/>
              </w:rPr>
            </w:r>
            <w:r/>
          </w:p>
        </w:tc>
        <w:tc>
          <w:tcPr>
            <w:tcW w:w="6143" w:type="dxa"/>
            <w:vAlign w:val="center"/>
            <w:textDirection w:val="lrTb"/>
            <w:noWrap w:val="false"/>
          </w:tcPr>
          <w:p>
            <w:pPr>
              <w:pStyle w:val="1118"/>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大写：                       </w:t>
            </w:r>
            <w:r/>
          </w:p>
          <w:p>
            <w:pPr>
              <w:pStyle w:val="1118"/>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小写：                            （人民币：元   ）</w:t>
            </w:r>
            <w:r/>
          </w:p>
        </w:tc>
      </w:tr>
      <w:tr>
        <w:trPr>
          <w:cantSplit/>
          <w:trHeight w:val="1697"/>
        </w:trPr>
        <w:tc>
          <w:tcPr>
            <w:tcW w:w="2377" w:type="dxa"/>
            <w:vAlign w:val="center"/>
            <w:textDirection w:val="lrTb"/>
            <w:noWrap w:val="false"/>
          </w:tcPr>
          <w:p>
            <w:pPr>
              <w:pStyle w:val="814"/>
              <w:jc w:val="center"/>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是否小微企业</w:t>
            </w:r>
            <w:r/>
          </w:p>
        </w:tc>
        <w:tc>
          <w:tcPr>
            <w:tcW w:w="6143" w:type="dxa"/>
            <w:vAlign w:val="center"/>
            <w:textDirection w:val="lrTb"/>
            <w:noWrap w:val="false"/>
          </w:tcPr>
          <w:p>
            <w:pPr>
              <w:pStyle w:val="814"/>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□是             □否</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98"/>
        <w:numPr>
          <w:ilvl w:val="0"/>
          <w:numId w:val="0"/>
        </w:numPr>
        <w:ind w:left="2100"/>
        <w:jc w:val="both"/>
        <w:rPr>
          <w:rFonts w:ascii="宋体" w:hAnsi="宋体"/>
          <w:bCs w:val="0"/>
          <w:color w:val="auto"/>
          <w:sz w:val="32"/>
          <w:szCs w:val="32"/>
          <w:highlight w:val="none"/>
        </w:rPr>
      </w:pPr>
      <w:r>
        <w:rPr>
          <w:rFonts w:ascii="宋体" w:hAnsi="宋体"/>
          <w:bCs w:val="0"/>
          <w:color w:val="auto"/>
          <w:sz w:val="32"/>
          <w:szCs w:val="32"/>
          <w:highlight w:val="none"/>
        </w:rPr>
      </w:r>
      <w:r/>
    </w:p>
    <w:p>
      <w:pPr>
        <w:pStyle w:val="808"/>
        <w:ind w:firstLine="640"/>
        <w:rPr>
          <w:rFonts w:ascii="宋体" w:hAnsi="宋体"/>
          <w:color w:val="auto"/>
          <w:sz w:val="32"/>
          <w:szCs w:val="32"/>
          <w:highlight w:val="none"/>
        </w:rPr>
      </w:pPr>
      <w:r>
        <w:rPr>
          <w:rFonts w:ascii="宋体" w:hAnsi="宋体"/>
          <w:color w:val="auto"/>
          <w:sz w:val="32"/>
          <w:szCs w:val="32"/>
          <w:highlight w:val="none"/>
        </w:rPr>
      </w:r>
      <w:r/>
    </w:p>
    <w:p>
      <w:pPr>
        <w:numPr>
          <w:ilvl w:val="0"/>
          <w:numId w:val="0"/>
        </w:numPr>
        <w:jc w:val="center"/>
        <w:rPr>
          <w:rFonts w:hint="eastAsia" w:ascii="宋体" w:hAnsi="宋体"/>
          <w:b/>
          <w:color w:val="auto"/>
          <w:sz w:val="32"/>
          <w:szCs w:val="32"/>
          <w:highlight w:val="none"/>
        </w:rPr>
      </w:pPr>
      <w:r>
        <w:rPr>
          <w:rFonts w:hint="eastAsia" w:ascii="宋体" w:hAnsi="宋体"/>
          <w:color w:val="auto"/>
          <w:sz w:val="32"/>
          <w:szCs w:val="32"/>
          <w:highlight w:val="none"/>
        </w:rPr>
        <w:br w:type="page" w:clear="all"/>
      </w:r>
      <w:bookmarkStart w:id="33" w:name="_Toc113352361"/>
      <w:r>
        <w:rPr>
          <w:rFonts w:hint="eastAsia" w:ascii="宋体" w:hAnsi="宋体"/>
          <w:b/>
          <w:color w:val="auto"/>
          <w:sz w:val="32"/>
          <w:szCs w:val="32"/>
          <w:highlight w:val="none"/>
        </w:rPr>
        <w:t xml:space="preserve">分项报价表</w:t>
      </w:r>
      <w:bookmarkEnd w:id="33"/>
      <w:r/>
      <w:r/>
    </w:p>
    <w:p>
      <w:pPr>
        <w:numPr>
          <w:ilvl w:val="0"/>
          <w:numId w:val="0"/>
        </w:numPr>
        <w:jc w:val="both"/>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80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1"/>
        <w:gridCol w:w="1658"/>
        <w:gridCol w:w="2306"/>
        <w:gridCol w:w="1904"/>
      </w:tblGrid>
      <w:tr>
        <w:trPr>
          <w:cantSplit/>
          <w:trHeight w:val="675"/>
        </w:trPr>
        <w:tc>
          <w:tcPr>
            <w:tcW w:w="26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6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3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9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r>
      <w:tr>
        <w:trPr>
          <w:cantSplit/>
          <w:trHeight w:val="675"/>
        </w:trPr>
        <w:tc>
          <w:tcPr>
            <w:tcW w:w="26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名称</w:t>
            </w:r>
            <w:r/>
          </w:p>
        </w:tc>
        <w:tc>
          <w:tcPr>
            <w:tcW w:w="16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23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19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w:t>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合计</w:t>
            </w:r>
            <w:r/>
          </w:p>
        </w:tc>
        <w:tc>
          <w:tcPr>
            <w:gridSpan w:val="3"/>
            <w:tcW w:w="586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hint="eastAsia" w:ascii="宋体" w:hAnsi="宋体"/>
          <w:bCs w:val="0"/>
          <w:color w:val="auto"/>
          <w:sz w:val="32"/>
          <w:szCs w:val="32"/>
          <w:highlight w:val="none"/>
        </w:rPr>
      </w:pPr>
      <w:r>
        <w:rPr>
          <w:rFonts w:hint="eastAsia" w:ascii="宋体" w:hAnsi="宋体"/>
          <w:bCs w:val="0"/>
          <w:color w:val="auto"/>
          <w:sz w:val="32"/>
          <w:szCs w:val="32"/>
          <w:highlight w:val="none"/>
        </w:rPr>
        <w:br w:type="page" w:clear="all"/>
      </w:r>
      <w:r/>
    </w:p>
    <w:p>
      <w:pPr>
        <w:pStyle w:val="798"/>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技术参数响应及偏离表</w:t>
      </w:r>
      <w:r/>
    </w:p>
    <w:tbl>
      <w:tblPr>
        <w:tblStyle w:val="80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宋体" w:hAnsi="宋体"/>
          <w:color w:val="auto"/>
          <w:sz w:val="32"/>
          <w:szCs w:val="32"/>
          <w:highlight w:val="none"/>
        </w:rPr>
      </w:pPr>
      <w:r>
        <w:rPr>
          <w:rFonts w:hint="eastAsia" w:ascii="黑体" w:hAnsi="Arial" w:eastAsia="黑体"/>
          <w:color w:val="auto"/>
          <w:sz w:val="32"/>
          <w:highlight w:val="none"/>
        </w:rPr>
        <w:br w:type="page" w:clear="all"/>
      </w:r>
      <w:bookmarkStart w:id="34" w:name="_Hlt26955054"/>
      <w:r/>
      <w:bookmarkEnd w:id="34"/>
      <w:r/>
      <w:bookmarkStart w:id="35" w:name="_Toc113352363"/>
      <w:r>
        <w:rPr>
          <w:rFonts w:hint="eastAsia" w:ascii="宋体" w:hAnsi="宋体"/>
          <w:b/>
          <w:color w:val="auto"/>
          <w:sz w:val="32"/>
          <w:szCs w:val="32"/>
          <w:highlight w:val="none"/>
        </w:rPr>
        <w:t xml:space="preserve">商务条款响应及偏离表</w:t>
      </w:r>
      <w:bookmarkEnd w:id="35"/>
      <w:r/>
      <w:r/>
    </w:p>
    <w:tbl>
      <w:tblPr>
        <w:tblStyle w:val="807"/>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hint="default" w:ascii="仿宋_GB2312" w:hAnsi="宋体" w:eastAsia="宋体"/>
                <w:color w:val="auto"/>
                <w:szCs w:val="21"/>
                <w:highlight w:val="none"/>
                <w:lang w:val="en-US" w:eastAsia="zh-CN"/>
              </w:rPr>
            </w:pPr>
            <w:r>
              <w:rPr>
                <w:rFonts w:hint="eastAsia" w:ascii="仿宋_GB2312" w:hAnsi="宋体"/>
                <w:color w:val="auto"/>
                <w:szCs w:val="21"/>
                <w:highlight w:val="none"/>
                <w:lang w:val="en-US" w:eastAsia="zh-CN"/>
              </w:rPr>
              <w:t xml:space="preserve">服务期</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交付地点</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808"/>
        <w:ind w:firstLine="480"/>
        <w:rPr>
          <w:rFonts w:ascii="宋体" w:hAnsi="宋体"/>
          <w:color w:val="auto"/>
          <w:sz w:val="24"/>
          <w:highlight w:val="none"/>
        </w:rPr>
      </w:pPr>
      <w:r/>
      <w:bookmarkStart w:id="36" w:name="_Hlt26609389"/>
      <w:r/>
      <w:bookmarkEnd w:id="36"/>
      <w:r/>
      <w:bookmarkStart w:id="37" w:name="_Hlt26671374"/>
      <w:r/>
      <w:bookmarkEnd w:id="37"/>
      <w:r/>
      <w:bookmarkStart w:id="38" w:name="_Hlt26955066"/>
      <w:r/>
      <w:bookmarkEnd w:id="38"/>
      <w:r/>
      <w:bookmarkStart w:id="39" w:name="_Toc462564146"/>
      <w:r/>
      <w:r/>
    </w:p>
    <w:p>
      <w:pPr>
        <w:pStyle w:val="808"/>
        <w:ind w:firstLine="480"/>
        <w:rPr>
          <w:rFonts w:ascii="宋体" w:hAnsi="宋体"/>
          <w:color w:val="auto"/>
          <w:sz w:val="24"/>
          <w:highlight w:val="none"/>
        </w:rPr>
      </w:pPr>
      <w:r>
        <w:rPr>
          <w:rFonts w:ascii="宋体" w:hAnsi="宋体"/>
          <w:color w:val="auto"/>
          <w:sz w:val="24"/>
          <w:highlight w:val="none"/>
        </w:rPr>
      </w:r>
      <w:r/>
    </w:p>
    <w:p>
      <w:pPr>
        <w:pStyle w:val="808"/>
        <w:ind w:firstLine="480"/>
        <w:rPr>
          <w:rFonts w:ascii="宋体" w:hAnsi="宋体"/>
          <w:color w:val="auto"/>
          <w:sz w:val="24"/>
          <w:highlight w:val="none"/>
        </w:rPr>
      </w:pPr>
      <w:r>
        <w:rPr>
          <w:rFonts w:ascii="宋体" w:hAnsi="宋体"/>
          <w:color w:val="auto"/>
          <w:sz w:val="24"/>
          <w:highlight w:val="none"/>
        </w:rPr>
      </w:r>
      <w:r/>
    </w:p>
    <w:p>
      <w:pPr>
        <w:pStyle w:val="808"/>
        <w:ind w:firstLine="480"/>
        <w:rPr>
          <w:rFonts w:ascii="宋体" w:hAnsi="宋体"/>
          <w:color w:val="auto"/>
          <w:sz w:val="24"/>
          <w:highlight w:val="none"/>
        </w:rPr>
      </w:pPr>
      <w:r>
        <w:rPr>
          <w:rFonts w:ascii="宋体" w:hAnsi="宋体"/>
          <w:color w:val="auto"/>
          <w:sz w:val="24"/>
          <w:highlight w:val="none"/>
        </w:rPr>
      </w:r>
      <w:r/>
    </w:p>
    <w:p>
      <w:pPr>
        <w:pStyle w:val="808"/>
        <w:ind w:firstLine="480"/>
        <w:rPr>
          <w:rFonts w:ascii="宋体" w:hAnsi="宋体"/>
          <w:color w:val="auto"/>
          <w:sz w:val="24"/>
          <w:highlight w:val="none"/>
        </w:rPr>
      </w:pPr>
      <w:r>
        <w:rPr>
          <w:rFonts w:hint="eastAsia" w:ascii="宋体" w:hAnsi="宋体"/>
          <w:color w:val="auto"/>
          <w:sz w:val="24"/>
          <w:highlight w:val="none"/>
        </w:rPr>
        <w:t xml:space="preserve">.</w:t>
      </w:r>
      <w:r/>
    </w:p>
    <w:p>
      <w:pPr>
        <w:pStyle w:val="808"/>
        <w:ind w:firstLine="480"/>
        <w:rPr>
          <w:rFonts w:ascii="宋体" w:hAnsi="宋体"/>
          <w:color w:val="auto"/>
          <w:sz w:val="24"/>
          <w:highlight w:val="none"/>
        </w:rPr>
      </w:pPr>
      <w:r>
        <w:rPr>
          <w:rFonts w:ascii="宋体" w:hAnsi="宋体"/>
          <w:color w:val="auto"/>
          <w:sz w:val="24"/>
          <w:highlight w:val="none"/>
        </w:rPr>
      </w:r>
      <w:r/>
    </w:p>
    <w:p>
      <w:pPr>
        <w:ind w:left="25"/>
        <w:jc w:val="center"/>
        <w:spacing w:before="137" w:line="228" w:lineRule="auto"/>
        <w:rPr>
          <w:rFonts w:ascii="宋体" w:hAnsi="宋体" w:eastAsia="宋体" w:cs="宋体"/>
          <w:sz w:val="20"/>
          <w:szCs w:val="20"/>
          <w:highlight w:val="none"/>
        </w:rPr>
      </w:pPr>
      <w:r>
        <w:rPr>
          <w:rFonts w:hint="eastAsia" w:ascii="宋体" w:hAnsi="宋体" w:eastAsia="宋体" w:cs="宋体"/>
          <w:bCs w:val="0"/>
          <w:color w:val="auto"/>
          <w:highlight w:val="none"/>
          <w:lang w:eastAsia="zh-CN"/>
        </w:rPr>
        <w:br w:type="page" w:clear="all"/>
      </w:r>
      <w:bookmarkStart w:id="40" w:name="_Hlt26671343"/>
      <w:r/>
      <w:bookmarkEnd w:id="40"/>
      <w:r/>
      <w:bookmarkStart w:id="41" w:name="_Hlt26580838"/>
      <w:r/>
      <w:bookmarkEnd w:id="41"/>
      <w:r/>
      <w:bookmarkStart w:id="42" w:name="_Hlt24879081"/>
      <w:r/>
      <w:bookmarkEnd w:id="42"/>
      <w:r/>
      <w:bookmarkStart w:id="43" w:name="_Hlt26782999"/>
      <w:r/>
      <w:bookmarkEnd w:id="43"/>
      <w:r/>
      <w:bookmarkStart w:id="44" w:name="_Hlt26671372"/>
      <w:r/>
      <w:bookmarkEnd w:id="44"/>
      <w:r/>
      <w:bookmarkStart w:id="45" w:name="_Hlt26955056"/>
      <w:r/>
      <w:bookmarkEnd w:id="45"/>
      <w:r/>
      <w:bookmarkStart w:id="46" w:name="_Hlt26955064"/>
      <w:r/>
      <w:bookmarkEnd w:id="46"/>
      <w:r/>
      <w:bookmarkStart w:id="47" w:name="_Hlt26609391"/>
      <w:r/>
      <w:bookmarkEnd w:id="47"/>
      <w:r>
        <w:rPr>
          <w:rFonts w:ascii="宋体" w:hAnsi="宋体" w:eastAsia="宋体" w:cs="宋体"/>
          <w:b/>
          <w:bCs/>
          <w:spacing w:val="7"/>
          <w:sz w:val="20"/>
          <w:szCs w:val="20"/>
          <w:highlight w:val="none"/>
        </w:rPr>
        <w:t xml:space="preserve">拟投入本项目人员一览表</w:t>
      </w:r>
      <w:r/>
    </w:p>
    <w:p>
      <w:pPr>
        <w:spacing w:line="92" w:lineRule="exact"/>
        <w:rPr>
          <w:highlight w:val="none"/>
        </w:rPr>
      </w:pPr>
      <w:r>
        <w:rPr>
          <w:highlight w:val="none"/>
        </w:rPr>
      </w:r>
      <w:r/>
    </w:p>
    <w:tbl>
      <w:tblPr>
        <w:tblStyle w:val="1191"/>
        <w:tblW w:w="888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4"/>
        <w:gridCol w:w="900"/>
        <w:gridCol w:w="900"/>
        <w:gridCol w:w="1079"/>
        <w:gridCol w:w="1259"/>
        <w:gridCol w:w="1315"/>
        <w:gridCol w:w="1439"/>
        <w:gridCol w:w="1084"/>
      </w:tblGrid>
      <w:tr>
        <w:trPr>
          <w:jc w:val="center"/>
          <w:trHeight w:val="1578"/>
        </w:trPr>
        <w:tc>
          <w:tcPr>
            <w:tcW w:w="904" w:type="dxa"/>
            <w:vAlign w:val="top"/>
            <w:textDirection w:val="lrTb"/>
            <w:noWrap w:val="false"/>
          </w:tcPr>
          <w:p>
            <w:pPr>
              <w:spacing w:line="351" w:lineRule="auto"/>
              <w:rPr>
                <w:rFonts w:ascii="Arial"/>
                <w:sz w:val="21"/>
                <w:highlight w:val="none"/>
              </w:rPr>
            </w:pPr>
            <w:r>
              <w:rPr>
                <w:rFonts w:ascii="Arial"/>
                <w:sz w:val="21"/>
                <w:highlight w:val="none"/>
              </w:rPr>
            </w:r>
            <w:r/>
          </w:p>
          <w:p>
            <w:pPr>
              <w:spacing w:line="351" w:lineRule="auto"/>
              <w:rPr>
                <w:rFonts w:ascii="Arial"/>
                <w:sz w:val="21"/>
                <w:highlight w:val="none"/>
              </w:rPr>
            </w:pPr>
            <w:r>
              <w:rPr>
                <w:rFonts w:ascii="Arial"/>
                <w:sz w:val="21"/>
                <w:highlight w:val="none"/>
              </w:rPr>
            </w:r>
            <w:r/>
          </w:p>
          <w:p>
            <w:pPr>
              <w:pStyle w:val="1192"/>
              <w:ind w:left="270"/>
              <w:spacing w:before="65" w:line="229" w:lineRule="auto"/>
              <w:rPr>
                <w:highlight w:val="none"/>
              </w:rPr>
            </w:pPr>
            <w:r>
              <w:rPr>
                <w:spacing w:val="-7"/>
                <w:highlight w:val="none"/>
              </w:rPr>
              <w:t xml:space="preserve">岗位</w:t>
            </w:r>
            <w:r/>
          </w:p>
        </w:tc>
        <w:tc>
          <w:tcPr>
            <w:tcW w:w="900" w:type="dxa"/>
            <w:vAlign w:val="top"/>
            <w:textDirection w:val="lrTb"/>
            <w:noWrap w:val="false"/>
          </w:tcPr>
          <w:p>
            <w:pPr>
              <w:spacing w:line="351" w:lineRule="auto"/>
              <w:rPr>
                <w:rFonts w:ascii="Arial"/>
                <w:sz w:val="21"/>
                <w:highlight w:val="none"/>
              </w:rPr>
            </w:pPr>
            <w:r>
              <w:rPr>
                <w:rFonts w:ascii="Arial"/>
                <w:sz w:val="21"/>
                <w:highlight w:val="none"/>
              </w:rPr>
            </w:r>
            <w:r/>
          </w:p>
          <w:p>
            <w:pPr>
              <w:spacing w:line="351" w:lineRule="auto"/>
              <w:rPr>
                <w:rFonts w:ascii="Arial"/>
                <w:sz w:val="21"/>
                <w:highlight w:val="none"/>
              </w:rPr>
            </w:pPr>
            <w:r>
              <w:rPr>
                <w:rFonts w:ascii="Arial"/>
                <w:sz w:val="21"/>
                <w:highlight w:val="none"/>
              </w:rPr>
            </w:r>
            <w:r/>
          </w:p>
          <w:p>
            <w:pPr>
              <w:pStyle w:val="1192"/>
              <w:ind w:left="243"/>
              <w:spacing w:before="65" w:line="228" w:lineRule="auto"/>
              <w:rPr>
                <w:highlight w:val="none"/>
              </w:rPr>
            </w:pPr>
            <w:r>
              <w:rPr>
                <w:spacing w:val="4"/>
                <w:highlight w:val="none"/>
              </w:rPr>
              <w:t xml:space="preserve">姓名</w:t>
            </w:r>
            <w:r/>
          </w:p>
        </w:tc>
        <w:tc>
          <w:tcPr>
            <w:tcW w:w="900" w:type="dxa"/>
            <w:vAlign w:val="top"/>
            <w:textDirection w:val="lrTb"/>
            <w:noWrap w:val="false"/>
          </w:tcPr>
          <w:p>
            <w:pPr>
              <w:spacing w:line="351" w:lineRule="auto"/>
              <w:rPr>
                <w:rFonts w:ascii="Arial"/>
                <w:sz w:val="21"/>
                <w:highlight w:val="none"/>
              </w:rPr>
            </w:pPr>
            <w:r>
              <w:rPr>
                <w:rFonts w:ascii="Arial"/>
                <w:sz w:val="21"/>
                <w:highlight w:val="none"/>
              </w:rPr>
            </w:r>
            <w:r/>
          </w:p>
          <w:p>
            <w:pPr>
              <w:spacing w:line="351" w:lineRule="auto"/>
              <w:rPr>
                <w:rFonts w:ascii="Arial"/>
                <w:sz w:val="21"/>
                <w:highlight w:val="none"/>
              </w:rPr>
            </w:pPr>
            <w:r>
              <w:rPr>
                <w:rFonts w:ascii="Arial"/>
                <w:sz w:val="21"/>
                <w:highlight w:val="none"/>
              </w:rPr>
            </w:r>
            <w:r/>
          </w:p>
          <w:p>
            <w:pPr>
              <w:pStyle w:val="1192"/>
              <w:ind w:left="243"/>
              <w:spacing w:before="65" w:line="229" w:lineRule="auto"/>
              <w:rPr>
                <w:highlight w:val="none"/>
              </w:rPr>
            </w:pPr>
            <w:r>
              <w:rPr>
                <w:spacing w:val="4"/>
                <w:highlight w:val="none"/>
              </w:rPr>
              <w:t xml:space="preserve">性别</w:t>
            </w:r>
            <w:r/>
          </w:p>
        </w:tc>
        <w:tc>
          <w:tcPr>
            <w:tcW w:w="1079" w:type="dxa"/>
            <w:vAlign w:val="top"/>
            <w:textDirection w:val="lrTb"/>
            <w:noWrap w:val="false"/>
          </w:tcPr>
          <w:p>
            <w:pPr>
              <w:spacing w:line="351" w:lineRule="auto"/>
              <w:rPr>
                <w:rFonts w:ascii="Arial"/>
                <w:sz w:val="21"/>
                <w:highlight w:val="none"/>
              </w:rPr>
            </w:pPr>
            <w:r>
              <w:rPr>
                <w:rFonts w:ascii="Arial"/>
                <w:sz w:val="21"/>
                <w:highlight w:val="none"/>
              </w:rPr>
            </w:r>
            <w:r/>
          </w:p>
          <w:p>
            <w:pPr>
              <w:spacing w:line="351" w:lineRule="auto"/>
              <w:rPr>
                <w:rFonts w:ascii="Arial"/>
                <w:sz w:val="21"/>
                <w:highlight w:val="none"/>
              </w:rPr>
            </w:pPr>
            <w:r>
              <w:rPr>
                <w:rFonts w:ascii="Arial"/>
                <w:sz w:val="21"/>
                <w:highlight w:val="none"/>
              </w:rPr>
            </w:r>
            <w:r/>
          </w:p>
          <w:p>
            <w:pPr>
              <w:pStyle w:val="1192"/>
              <w:ind w:left="335"/>
              <w:spacing w:before="65" w:line="228" w:lineRule="auto"/>
              <w:rPr>
                <w:highlight w:val="none"/>
              </w:rPr>
            </w:pPr>
            <w:r>
              <w:rPr>
                <w:spacing w:val="4"/>
                <w:highlight w:val="none"/>
              </w:rPr>
              <w:t xml:space="preserve">年龄</w:t>
            </w:r>
            <w:r/>
          </w:p>
        </w:tc>
        <w:tc>
          <w:tcPr>
            <w:tcW w:w="1259" w:type="dxa"/>
            <w:vAlign w:val="top"/>
            <w:textDirection w:val="lrTb"/>
            <w:noWrap w:val="false"/>
          </w:tcPr>
          <w:p>
            <w:pPr>
              <w:spacing w:line="350" w:lineRule="auto"/>
              <w:rPr>
                <w:rFonts w:ascii="Arial"/>
                <w:sz w:val="21"/>
                <w:highlight w:val="none"/>
              </w:rPr>
            </w:pPr>
            <w:r>
              <w:rPr>
                <w:rFonts w:ascii="Arial"/>
                <w:sz w:val="21"/>
                <w:highlight w:val="none"/>
              </w:rPr>
            </w:r>
            <w:r/>
          </w:p>
          <w:p>
            <w:pPr>
              <w:spacing w:line="351" w:lineRule="auto"/>
              <w:rPr>
                <w:rFonts w:ascii="Arial"/>
                <w:sz w:val="21"/>
                <w:highlight w:val="none"/>
              </w:rPr>
            </w:pPr>
            <w:r>
              <w:rPr>
                <w:rFonts w:ascii="Arial"/>
                <w:sz w:val="21"/>
                <w:highlight w:val="none"/>
              </w:rPr>
            </w:r>
            <w:r/>
          </w:p>
          <w:p>
            <w:pPr>
              <w:pStyle w:val="1192"/>
              <w:ind w:left="425"/>
              <w:spacing w:before="65" w:line="231" w:lineRule="auto"/>
              <w:rPr>
                <w:highlight w:val="none"/>
              </w:rPr>
            </w:pPr>
            <w:r>
              <w:rPr>
                <w:spacing w:val="4"/>
                <w:highlight w:val="none"/>
              </w:rPr>
              <w:t xml:space="preserve">职称</w:t>
            </w:r>
            <w:r/>
          </w:p>
        </w:tc>
        <w:tc>
          <w:tcPr>
            <w:tcW w:w="1315" w:type="dxa"/>
            <w:vAlign w:val="top"/>
            <w:textDirection w:val="lrTb"/>
            <w:noWrap w:val="false"/>
          </w:tcPr>
          <w:p>
            <w:pPr>
              <w:spacing w:line="351" w:lineRule="auto"/>
              <w:rPr>
                <w:rFonts w:ascii="Arial"/>
                <w:sz w:val="21"/>
                <w:highlight w:val="none"/>
              </w:rPr>
            </w:pPr>
            <w:r>
              <w:rPr>
                <w:rFonts w:ascii="Arial"/>
                <w:sz w:val="21"/>
                <w:highlight w:val="none"/>
              </w:rPr>
            </w:r>
            <w:r/>
          </w:p>
          <w:p>
            <w:pPr>
              <w:spacing w:line="351" w:lineRule="auto"/>
              <w:rPr>
                <w:rFonts w:ascii="Arial"/>
                <w:sz w:val="21"/>
                <w:highlight w:val="none"/>
              </w:rPr>
            </w:pPr>
            <w:r>
              <w:rPr>
                <w:rFonts w:ascii="Arial"/>
                <w:sz w:val="21"/>
                <w:highlight w:val="none"/>
              </w:rPr>
            </w:r>
            <w:r/>
          </w:p>
          <w:p>
            <w:pPr>
              <w:pStyle w:val="1192"/>
              <w:ind w:left="455"/>
              <w:spacing w:before="65" w:line="228" w:lineRule="auto"/>
              <w:rPr>
                <w:highlight w:val="none"/>
              </w:rPr>
            </w:pPr>
            <w:r>
              <w:rPr>
                <w:spacing w:val="4"/>
                <w:highlight w:val="none"/>
              </w:rPr>
              <w:t xml:space="preserve">职务</w:t>
            </w:r>
            <w:r/>
          </w:p>
        </w:tc>
        <w:tc>
          <w:tcPr>
            <w:tcW w:w="1439" w:type="dxa"/>
            <w:vAlign w:val="top"/>
            <w:textDirection w:val="lrTb"/>
            <w:noWrap w:val="false"/>
          </w:tcPr>
          <w:p>
            <w:pPr>
              <w:spacing w:line="351" w:lineRule="auto"/>
              <w:rPr>
                <w:rFonts w:ascii="Arial"/>
                <w:sz w:val="21"/>
                <w:highlight w:val="none"/>
              </w:rPr>
            </w:pPr>
            <w:r>
              <w:rPr>
                <w:rFonts w:ascii="Arial"/>
                <w:sz w:val="21"/>
                <w:highlight w:val="none"/>
              </w:rPr>
            </w:r>
            <w:r/>
          </w:p>
          <w:p>
            <w:pPr>
              <w:spacing w:line="351" w:lineRule="auto"/>
              <w:rPr>
                <w:rFonts w:ascii="Arial"/>
                <w:sz w:val="21"/>
                <w:highlight w:val="none"/>
              </w:rPr>
            </w:pPr>
            <w:r>
              <w:rPr>
                <w:rFonts w:ascii="Arial"/>
                <w:sz w:val="21"/>
                <w:highlight w:val="none"/>
              </w:rPr>
            </w:r>
            <w:r/>
          </w:p>
          <w:p>
            <w:pPr>
              <w:pStyle w:val="1192"/>
              <w:ind w:left="521"/>
              <w:spacing w:before="65" w:line="230" w:lineRule="auto"/>
              <w:rPr>
                <w:highlight w:val="none"/>
              </w:rPr>
            </w:pPr>
            <w:r>
              <w:rPr>
                <w:spacing w:val="2"/>
                <w:highlight w:val="none"/>
              </w:rPr>
              <w:t xml:space="preserve">学历</w:t>
            </w:r>
            <w:r/>
          </w:p>
        </w:tc>
        <w:tc>
          <w:tcPr>
            <w:tcW w:w="1084" w:type="dxa"/>
            <w:vAlign w:val="top"/>
            <w:textDirection w:val="lrTb"/>
            <w:noWrap w:val="false"/>
          </w:tcPr>
          <w:p>
            <w:pPr>
              <w:spacing w:line="351" w:lineRule="auto"/>
              <w:rPr>
                <w:rFonts w:ascii="Arial"/>
                <w:sz w:val="21"/>
                <w:highlight w:val="none"/>
              </w:rPr>
            </w:pPr>
            <w:r>
              <w:rPr>
                <w:rFonts w:ascii="Arial"/>
                <w:sz w:val="21"/>
                <w:highlight w:val="none"/>
              </w:rPr>
            </w:r>
            <w:r/>
          </w:p>
          <w:p>
            <w:pPr>
              <w:spacing w:line="351" w:lineRule="auto"/>
              <w:rPr>
                <w:rFonts w:ascii="Arial"/>
                <w:sz w:val="21"/>
                <w:highlight w:val="none"/>
              </w:rPr>
            </w:pPr>
            <w:r>
              <w:rPr>
                <w:rFonts w:ascii="Arial"/>
                <w:sz w:val="21"/>
                <w:highlight w:val="none"/>
              </w:rPr>
            </w:r>
            <w:r/>
          </w:p>
          <w:p>
            <w:pPr>
              <w:pStyle w:val="1192"/>
              <w:ind w:left="339"/>
              <w:spacing w:before="65" w:line="229" w:lineRule="auto"/>
              <w:rPr>
                <w:highlight w:val="none"/>
              </w:rPr>
            </w:pPr>
            <w:r>
              <w:rPr>
                <w:spacing w:val="4"/>
                <w:highlight w:val="none"/>
              </w:rPr>
              <w:t xml:space="preserve">专业</w:t>
            </w:r>
            <w:r/>
          </w:p>
        </w:tc>
      </w:tr>
      <w:tr>
        <w:trPr>
          <w:jc w:val="center"/>
          <w:trHeight w:val="413"/>
        </w:trPr>
        <w:tc>
          <w:tcPr>
            <w:tcW w:w="904"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1079" w:type="dxa"/>
            <w:vAlign w:val="top"/>
            <w:textDirection w:val="lrTb"/>
            <w:noWrap w:val="false"/>
          </w:tcPr>
          <w:p>
            <w:pPr>
              <w:rPr>
                <w:rFonts w:ascii="Arial"/>
                <w:sz w:val="21"/>
                <w:highlight w:val="none"/>
              </w:rPr>
            </w:pPr>
            <w:r>
              <w:rPr>
                <w:rFonts w:ascii="Arial"/>
                <w:sz w:val="21"/>
                <w:highlight w:val="none"/>
              </w:rPr>
            </w:r>
            <w:r/>
          </w:p>
        </w:tc>
        <w:tc>
          <w:tcPr>
            <w:tcW w:w="1259" w:type="dxa"/>
            <w:vAlign w:val="top"/>
            <w:textDirection w:val="lrTb"/>
            <w:noWrap w:val="false"/>
          </w:tcPr>
          <w:p>
            <w:pPr>
              <w:rPr>
                <w:rFonts w:ascii="Arial"/>
                <w:sz w:val="21"/>
                <w:highlight w:val="none"/>
              </w:rPr>
            </w:pPr>
            <w:r>
              <w:rPr>
                <w:rFonts w:ascii="Arial"/>
                <w:sz w:val="21"/>
                <w:highlight w:val="none"/>
              </w:rPr>
            </w:r>
            <w:r/>
          </w:p>
        </w:tc>
        <w:tc>
          <w:tcPr>
            <w:tcW w:w="1315" w:type="dxa"/>
            <w:vAlign w:val="top"/>
            <w:textDirection w:val="lrTb"/>
            <w:noWrap w:val="false"/>
          </w:tcPr>
          <w:p>
            <w:pPr>
              <w:rPr>
                <w:rFonts w:ascii="Arial"/>
                <w:sz w:val="21"/>
                <w:highlight w:val="none"/>
              </w:rPr>
            </w:pPr>
            <w:r>
              <w:rPr>
                <w:rFonts w:ascii="Arial"/>
                <w:sz w:val="21"/>
                <w:highlight w:val="none"/>
              </w:rPr>
            </w:r>
            <w:r/>
          </w:p>
        </w:tc>
        <w:tc>
          <w:tcPr>
            <w:tcW w:w="1439" w:type="dxa"/>
            <w:vAlign w:val="top"/>
            <w:textDirection w:val="lrTb"/>
            <w:noWrap w:val="false"/>
          </w:tcPr>
          <w:p>
            <w:pPr>
              <w:rPr>
                <w:rFonts w:ascii="Arial"/>
                <w:sz w:val="21"/>
                <w:highlight w:val="none"/>
              </w:rPr>
            </w:pPr>
            <w:r>
              <w:rPr>
                <w:rFonts w:ascii="Arial"/>
                <w:sz w:val="21"/>
                <w:highlight w:val="none"/>
              </w:rPr>
            </w:r>
            <w:r/>
          </w:p>
        </w:tc>
        <w:tc>
          <w:tcPr>
            <w:tcW w:w="1084" w:type="dxa"/>
            <w:vAlign w:val="top"/>
            <w:textDirection w:val="lrTb"/>
            <w:noWrap w:val="false"/>
          </w:tcPr>
          <w:p>
            <w:pPr>
              <w:rPr>
                <w:rFonts w:ascii="Arial"/>
                <w:sz w:val="21"/>
                <w:highlight w:val="none"/>
              </w:rPr>
            </w:pPr>
            <w:r>
              <w:rPr>
                <w:rFonts w:ascii="Arial"/>
                <w:sz w:val="21"/>
                <w:highlight w:val="none"/>
              </w:rPr>
            </w:r>
            <w:r/>
          </w:p>
        </w:tc>
      </w:tr>
      <w:tr>
        <w:trPr>
          <w:jc w:val="center"/>
          <w:trHeight w:val="413"/>
        </w:trPr>
        <w:tc>
          <w:tcPr>
            <w:tcW w:w="904"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1079" w:type="dxa"/>
            <w:vAlign w:val="top"/>
            <w:textDirection w:val="lrTb"/>
            <w:noWrap w:val="false"/>
          </w:tcPr>
          <w:p>
            <w:pPr>
              <w:rPr>
                <w:rFonts w:ascii="Arial"/>
                <w:sz w:val="21"/>
                <w:highlight w:val="none"/>
              </w:rPr>
            </w:pPr>
            <w:r>
              <w:rPr>
                <w:rFonts w:ascii="Arial"/>
                <w:sz w:val="21"/>
                <w:highlight w:val="none"/>
              </w:rPr>
            </w:r>
            <w:r/>
          </w:p>
        </w:tc>
        <w:tc>
          <w:tcPr>
            <w:tcW w:w="1259" w:type="dxa"/>
            <w:vAlign w:val="top"/>
            <w:textDirection w:val="lrTb"/>
            <w:noWrap w:val="false"/>
          </w:tcPr>
          <w:p>
            <w:pPr>
              <w:rPr>
                <w:rFonts w:ascii="Arial"/>
                <w:sz w:val="21"/>
                <w:highlight w:val="none"/>
              </w:rPr>
            </w:pPr>
            <w:r>
              <w:rPr>
                <w:rFonts w:ascii="Arial"/>
                <w:sz w:val="21"/>
                <w:highlight w:val="none"/>
              </w:rPr>
            </w:r>
            <w:r/>
          </w:p>
        </w:tc>
        <w:tc>
          <w:tcPr>
            <w:tcW w:w="1315" w:type="dxa"/>
            <w:vAlign w:val="top"/>
            <w:textDirection w:val="lrTb"/>
            <w:noWrap w:val="false"/>
          </w:tcPr>
          <w:p>
            <w:pPr>
              <w:rPr>
                <w:rFonts w:ascii="Arial"/>
                <w:sz w:val="21"/>
                <w:highlight w:val="none"/>
              </w:rPr>
            </w:pPr>
            <w:r>
              <w:rPr>
                <w:rFonts w:ascii="Arial"/>
                <w:sz w:val="21"/>
                <w:highlight w:val="none"/>
              </w:rPr>
            </w:r>
            <w:r/>
          </w:p>
        </w:tc>
        <w:tc>
          <w:tcPr>
            <w:tcW w:w="1439" w:type="dxa"/>
            <w:vAlign w:val="top"/>
            <w:textDirection w:val="lrTb"/>
            <w:noWrap w:val="false"/>
          </w:tcPr>
          <w:p>
            <w:pPr>
              <w:rPr>
                <w:rFonts w:ascii="Arial"/>
                <w:sz w:val="21"/>
                <w:highlight w:val="none"/>
              </w:rPr>
            </w:pPr>
            <w:r>
              <w:rPr>
                <w:rFonts w:ascii="Arial"/>
                <w:sz w:val="21"/>
                <w:highlight w:val="none"/>
              </w:rPr>
            </w:r>
            <w:r/>
          </w:p>
        </w:tc>
        <w:tc>
          <w:tcPr>
            <w:tcW w:w="1084" w:type="dxa"/>
            <w:vAlign w:val="top"/>
            <w:textDirection w:val="lrTb"/>
            <w:noWrap w:val="false"/>
          </w:tcPr>
          <w:p>
            <w:pPr>
              <w:rPr>
                <w:rFonts w:ascii="Arial"/>
                <w:sz w:val="21"/>
                <w:highlight w:val="none"/>
              </w:rPr>
            </w:pPr>
            <w:r>
              <w:rPr>
                <w:rFonts w:ascii="Arial"/>
                <w:sz w:val="21"/>
                <w:highlight w:val="none"/>
              </w:rPr>
            </w:r>
            <w:r/>
          </w:p>
        </w:tc>
      </w:tr>
      <w:tr>
        <w:trPr>
          <w:jc w:val="center"/>
          <w:trHeight w:val="413"/>
        </w:trPr>
        <w:tc>
          <w:tcPr>
            <w:tcW w:w="904"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1079" w:type="dxa"/>
            <w:vAlign w:val="top"/>
            <w:textDirection w:val="lrTb"/>
            <w:noWrap w:val="false"/>
          </w:tcPr>
          <w:p>
            <w:pPr>
              <w:rPr>
                <w:rFonts w:ascii="Arial"/>
                <w:sz w:val="21"/>
                <w:highlight w:val="none"/>
              </w:rPr>
            </w:pPr>
            <w:r>
              <w:rPr>
                <w:rFonts w:ascii="Arial"/>
                <w:sz w:val="21"/>
                <w:highlight w:val="none"/>
              </w:rPr>
            </w:r>
            <w:r/>
          </w:p>
        </w:tc>
        <w:tc>
          <w:tcPr>
            <w:tcW w:w="1259" w:type="dxa"/>
            <w:vAlign w:val="top"/>
            <w:textDirection w:val="lrTb"/>
            <w:noWrap w:val="false"/>
          </w:tcPr>
          <w:p>
            <w:pPr>
              <w:rPr>
                <w:rFonts w:ascii="Arial"/>
                <w:sz w:val="21"/>
                <w:highlight w:val="none"/>
              </w:rPr>
            </w:pPr>
            <w:r>
              <w:rPr>
                <w:rFonts w:ascii="Arial"/>
                <w:sz w:val="21"/>
                <w:highlight w:val="none"/>
              </w:rPr>
            </w:r>
            <w:r/>
          </w:p>
        </w:tc>
        <w:tc>
          <w:tcPr>
            <w:tcW w:w="1315" w:type="dxa"/>
            <w:vAlign w:val="top"/>
            <w:textDirection w:val="lrTb"/>
            <w:noWrap w:val="false"/>
          </w:tcPr>
          <w:p>
            <w:pPr>
              <w:rPr>
                <w:rFonts w:ascii="Arial"/>
                <w:sz w:val="21"/>
                <w:highlight w:val="none"/>
              </w:rPr>
            </w:pPr>
            <w:r>
              <w:rPr>
                <w:rFonts w:ascii="Arial"/>
                <w:sz w:val="21"/>
                <w:highlight w:val="none"/>
              </w:rPr>
            </w:r>
            <w:r/>
          </w:p>
        </w:tc>
        <w:tc>
          <w:tcPr>
            <w:tcW w:w="1439" w:type="dxa"/>
            <w:vAlign w:val="top"/>
            <w:textDirection w:val="lrTb"/>
            <w:noWrap w:val="false"/>
          </w:tcPr>
          <w:p>
            <w:pPr>
              <w:rPr>
                <w:rFonts w:ascii="Arial"/>
                <w:sz w:val="21"/>
                <w:highlight w:val="none"/>
              </w:rPr>
            </w:pPr>
            <w:r>
              <w:rPr>
                <w:rFonts w:ascii="Arial"/>
                <w:sz w:val="21"/>
                <w:highlight w:val="none"/>
              </w:rPr>
            </w:r>
            <w:r/>
          </w:p>
        </w:tc>
        <w:tc>
          <w:tcPr>
            <w:tcW w:w="1084" w:type="dxa"/>
            <w:vAlign w:val="top"/>
            <w:textDirection w:val="lrTb"/>
            <w:noWrap w:val="false"/>
          </w:tcPr>
          <w:p>
            <w:pPr>
              <w:rPr>
                <w:rFonts w:ascii="Arial"/>
                <w:sz w:val="21"/>
                <w:highlight w:val="none"/>
              </w:rPr>
            </w:pPr>
            <w:r>
              <w:rPr>
                <w:rFonts w:ascii="Arial"/>
                <w:sz w:val="21"/>
                <w:highlight w:val="none"/>
              </w:rPr>
            </w:r>
            <w:r/>
          </w:p>
        </w:tc>
      </w:tr>
      <w:tr>
        <w:trPr>
          <w:jc w:val="center"/>
          <w:trHeight w:val="413"/>
        </w:trPr>
        <w:tc>
          <w:tcPr>
            <w:tcW w:w="904"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1079" w:type="dxa"/>
            <w:vAlign w:val="top"/>
            <w:textDirection w:val="lrTb"/>
            <w:noWrap w:val="false"/>
          </w:tcPr>
          <w:p>
            <w:pPr>
              <w:rPr>
                <w:rFonts w:ascii="Arial"/>
                <w:sz w:val="21"/>
                <w:highlight w:val="none"/>
              </w:rPr>
            </w:pPr>
            <w:r>
              <w:rPr>
                <w:rFonts w:ascii="Arial"/>
                <w:sz w:val="21"/>
                <w:highlight w:val="none"/>
              </w:rPr>
            </w:r>
            <w:r/>
          </w:p>
        </w:tc>
        <w:tc>
          <w:tcPr>
            <w:tcW w:w="1259" w:type="dxa"/>
            <w:vAlign w:val="top"/>
            <w:textDirection w:val="lrTb"/>
            <w:noWrap w:val="false"/>
          </w:tcPr>
          <w:p>
            <w:pPr>
              <w:rPr>
                <w:rFonts w:ascii="Arial"/>
                <w:sz w:val="21"/>
                <w:highlight w:val="none"/>
              </w:rPr>
            </w:pPr>
            <w:r>
              <w:rPr>
                <w:rFonts w:ascii="Arial"/>
                <w:sz w:val="21"/>
                <w:highlight w:val="none"/>
              </w:rPr>
            </w:r>
            <w:r/>
          </w:p>
        </w:tc>
        <w:tc>
          <w:tcPr>
            <w:tcW w:w="1315" w:type="dxa"/>
            <w:vAlign w:val="top"/>
            <w:textDirection w:val="lrTb"/>
            <w:noWrap w:val="false"/>
          </w:tcPr>
          <w:p>
            <w:pPr>
              <w:rPr>
                <w:rFonts w:ascii="Arial"/>
                <w:sz w:val="21"/>
                <w:highlight w:val="none"/>
              </w:rPr>
            </w:pPr>
            <w:r>
              <w:rPr>
                <w:rFonts w:ascii="Arial"/>
                <w:sz w:val="21"/>
                <w:highlight w:val="none"/>
              </w:rPr>
            </w:r>
            <w:r/>
          </w:p>
        </w:tc>
        <w:tc>
          <w:tcPr>
            <w:tcW w:w="1439" w:type="dxa"/>
            <w:vAlign w:val="top"/>
            <w:textDirection w:val="lrTb"/>
            <w:noWrap w:val="false"/>
          </w:tcPr>
          <w:p>
            <w:pPr>
              <w:rPr>
                <w:rFonts w:ascii="Arial"/>
                <w:sz w:val="21"/>
                <w:highlight w:val="none"/>
              </w:rPr>
            </w:pPr>
            <w:r>
              <w:rPr>
                <w:rFonts w:ascii="Arial"/>
                <w:sz w:val="21"/>
                <w:highlight w:val="none"/>
              </w:rPr>
            </w:r>
            <w:r/>
          </w:p>
        </w:tc>
        <w:tc>
          <w:tcPr>
            <w:tcW w:w="1084" w:type="dxa"/>
            <w:vAlign w:val="top"/>
            <w:textDirection w:val="lrTb"/>
            <w:noWrap w:val="false"/>
          </w:tcPr>
          <w:p>
            <w:pPr>
              <w:rPr>
                <w:rFonts w:ascii="Arial"/>
                <w:sz w:val="21"/>
                <w:highlight w:val="none"/>
              </w:rPr>
            </w:pPr>
            <w:r>
              <w:rPr>
                <w:rFonts w:ascii="Arial"/>
                <w:sz w:val="21"/>
                <w:highlight w:val="none"/>
              </w:rPr>
            </w:r>
            <w:r/>
          </w:p>
        </w:tc>
      </w:tr>
      <w:tr>
        <w:trPr>
          <w:jc w:val="center"/>
          <w:trHeight w:val="414"/>
        </w:trPr>
        <w:tc>
          <w:tcPr>
            <w:tcW w:w="904"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1079" w:type="dxa"/>
            <w:vAlign w:val="top"/>
            <w:textDirection w:val="lrTb"/>
            <w:noWrap w:val="false"/>
          </w:tcPr>
          <w:p>
            <w:pPr>
              <w:rPr>
                <w:rFonts w:ascii="Arial"/>
                <w:sz w:val="21"/>
                <w:highlight w:val="none"/>
              </w:rPr>
            </w:pPr>
            <w:r>
              <w:rPr>
                <w:rFonts w:ascii="Arial"/>
                <w:sz w:val="21"/>
                <w:highlight w:val="none"/>
              </w:rPr>
            </w:r>
            <w:r/>
          </w:p>
        </w:tc>
        <w:tc>
          <w:tcPr>
            <w:tcW w:w="1259" w:type="dxa"/>
            <w:vAlign w:val="top"/>
            <w:textDirection w:val="lrTb"/>
            <w:noWrap w:val="false"/>
          </w:tcPr>
          <w:p>
            <w:pPr>
              <w:rPr>
                <w:rFonts w:ascii="Arial"/>
                <w:sz w:val="21"/>
                <w:highlight w:val="none"/>
              </w:rPr>
            </w:pPr>
            <w:r>
              <w:rPr>
                <w:rFonts w:ascii="Arial"/>
                <w:sz w:val="21"/>
                <w:highlight w:val="none"/>
              </w:rPr>
            </w:r>
            <w:r/>
          </w:p>
        </w:tc>
        <w:tc>
          <w:tcPr>
            <w:tcW w:w="1315" w:type="dxa"/>
            <w:vAlign w:val="top"/>
            <w:textDirection w:val="lrTb"/>
            <w:noWrap w:val="false"/>
          </w:tcPr>
          <w:p>
            <w:pPr>
              <w:rPr>
                <w:rFonts w:ascii="Arial"/>
                <w:sz w:val="21"/>
                <w:highlight w:val="none"/>
              </w:rPr>
            </w:pPr>
            <w:r>
              <w:rPr>
                <w:rFonts w:ascii="Arial"/>
                <w:sz w:val="21"/>
                <w:highlight w:val="none"/>
              </w:rPr>
            </w:r>
            <w:r/>
          </w:p>
        </w:tc>
        <w:tc>
          <w:tcPr>
            <w:tcW w:w="1439" w:type="dxa"/>
            <w:vAlign w:val="top"/>
            <w:textDirection w:val="lrTb"/>
            <w:noWrap w:val="false"/>
          </w:tcPr>
          <w:p>
            <w:pPr>
              <w:rPr>
                <w:rFonts w:ascii="Arial"/>
                <w:sz w:val="21"/>
                <w:highlight w:val="none"/>
              </w:rPr>
            </w:pPr>
            <w:r>
              <w:rPr>
                <w:rFonts w:ascii="Arial"/>
                <w:sz w:val="21"/>
                <w:highlight w:val="none"/>
              </w:rPr>
            </w:r>
            <w:r/>
          </w:p>
        </w:tc>
        <w:tc>
          <w:tcPr>
            <w:tcW w:w="1084" w:type="dxa"/>
            <w:vAlign w:val="top"/>
            <w:textDirection w:val="lrTb"/>
            <w:noWrap w:val="false"/>
          </w:tcPr>
          <w:p>
            <w:pPr>
              <w:rPr>
                <w:rFonts w:ascii="Arial"/>
                <w:sz w:val="21"/>
                <w:highlight w:val="none"/>
              </w:rPr>
            </w:pPr>
            <w:r>
              <w:rPr>
                <w:rFonts w:ascii="Arial"/>
                <w:sz w:val="21"/>
                <w:highlight w:val="none"/>
              </w:rPr>
            </w:r>
            <w:r/>
          </w:p>
        </w:tc>
      </w:tr>
      <w:tr>
        <w:trPr>
          <w:jc w:val="center"/>
          <w:trHeight w:val="412"/>
        </w:trPr>
        <w:tc>
          <w:tcPr>
            <w:tcW w:w="904"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1079" w:type="dxa"/>
            <w:vAlign w:val="top"/>
            <w:textDirection w:val="lrTb"/>
            <w:noWrap w:val="false"/>
          </w:tcPr>
          <w:p>
            <w:pPr>
              <w:rPr>
                <w:rFonts w:ascii="Arial"/>
                <w:sz w:val="21"/>
                <w:highlight w:val="none"/>
              </w:rPr>
            </w:pPr>
            <w:r>
              <w:rPr>
                <w:rFonts w:ascii="Arial"/>
                <w:sz w:val="21"/>
                <w:highlight w:val="none"/>
              </w:rPr>
            </w:r>
            <w:r/>
          </w:p>
        </w:tc>
        <w:tc>
          <w:tcPr>
            <w:tcW w:w="1259" w:type="dxa"/>
            <w:vAlign w:val="top"/>
            <w:textDirection w:val="lrTb"/>
            <w:noWrap w:val="false"/>
          </w:tcPr>
          <w:p>
            <w:pPr>
              <w:rPr>
                <w:rFonts w:ascii="Arial"/>
                <w:sz w:val="21"/>
                <w:highlight w:val="none"/>
              </w:rPr>
            </w:pPr>
            <w:r>
              <w:rPr>
                <w:rFonts w:ascii="Arial"/>
                <w:sz w:val="21"/>
                <w:highlight w:val="none"/>
              </w:rPr>
            </w:r>
            <w:r/>
          </w:p>
        </w:tc>
        <w:tc>
          <w:tcPr>
            <w:tcW w:w="1315" w:type="dxa"/>
            <w:vAlign w:val="top"/>
            <w:textDirection w:val="lrTb"/>
            <w:noWrap w:val="false"/>
          </w:tcPr>
          <w:p>
            <w:pPr>
              <w:rPr>
                <w:rFonts w:ascii="Arial"/>
                <w:sz w:val="21"/>
                <w:highlight w:val="none"/>
              </w:rPr>
            </w:pPr>
            <w:r>
              <w:rPr>
                <w:rFonts w:ascii="Arial"/>
                <w:sz w:val="21"/>
                <w:highlight w:val="none"/>
              </w:rPr>
            </w:r>
            <w:r/>
          </w:p>
        </w:tc>
        <w:tc>
          <w:tcPr>
            <w:tcW w:w="1439" w:type="dxa"/>
            <w:vAlign w:val="top"/>
            <w:textDirection w:val="lrTb"/>
            <w:noWrap w:val="false"/>
          </w:tcPr>
          <w:p>
            <w:pPr>
              <w:rPr>
                <w:rFonts w:ascii="Arial"/>
                <w:sz w:val="21"/>
                <w:highlight w:val="none"/>
              </w:rPr>
            </w:pPr>
            <w:r>
              <w:rPr>
                <w:rFonts w:ascii="Arial"/>
                <w:sz w:val="21"/>
                <w:highlight w:val="none"/>
              </w:rPr>
            </w:r>
            <w:r/>
          </w:p>
        </w:tc>
        <w:tc>
          <w:tcPr>
            <w:tcW w:w="1084" w:type="dxa"/>
            <w:vAlign w:val="top"/>
            <w:textDirection w:val="lrTb"/>
            <w:noWrap w:val="false"/>
          </w:tcPr>
          <w:p>
            <w:pPr>
              <w:rPr>
                <w:rFonts w:ascii="Arial"/>
                <w:sz w:val="21"/>
                <w:highlight w:val="none"/>
              </w:rPr>
            </w:pPr>
            <w:r>
              <w:rPr>
                <w:rFonts w:ascii="Arial"/>
                <w:sz w:val="21"/>
                <w:highlight w:val="none"/>
              </w:rPr>
            </w:r>
            <w:r/>
          </w:p>
        </w:tc>
      </w:tr>
      <w:tr>
        <w:trPr>
          <w:jc w:val="center"/>
          <w:trHeight w:val="414"/>
        </w:trPr>
        <w:tc>
          <w:tcPr>
            <w:tcW w:w="904"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1079" w:type="dxa"/>
            <w:vAlign w:val="top"/>
            <w:textDirection w:val="lrTb"/>
            <w:noWrap w:val="false"/>
          </w:tcPr>
          <w:p>
            <w:pPr>
              <w:rPr>
                <w:rFonts w:ascii="Arial"/>
                <w:sz w:val="21"/>
                <w:highlight w:val="none"/>
              </w:rPr>
            </w:pPr>
            <w:r>
              <w:rPr>
                <w:rFonts w:ascii="Arial"/>
                <w:sz w:val="21"/>
                <w:highlight w:val="none"/>
              </w:rPr>
            </w:r>
            <w:r/>
          </w:p>
        </w:tc>
        <w:tc>
          <w:tcPr>
            <w:tcW w:w="1259" w:type="dxa"/>
            <w:vAlign w:val="top"/>
            <w:textDirection w:val="lrTb"/>
            <w:noWrap w:val="false"/>
          </w:tcPr>
          <w:p>
            <w:pPr>
              <w:rPr>
                <w:rFonts w:ascii="Arial"/>
                <w:sz w:val="21"/>
                <w:highlight w:val="none"/>
              </w:rPr>
            </w:pPr>
            <w:r>
              <w:rPr>
                <w:rFonts w:ascii="Arial"/>
                <w:sz w:val="21"/>
                <w:highlight w:val="none"/>
              </w:rPr>
            </w:r>
            <w:r/>
          </w:p>
        </w:tc>
        <w:tc>
          <w:tcPr>
            <w:tcW w:w="1315" w:type="dxa"/>
            <w:vAlign w:val="top"/>
            <w:textDirection w:val="lrTb"/>
            <w:noWrap w:val="false"/>
          </w:tcPr>
          <w:p>
            <w:pPr>
              <w:rPr>
                <w:rFonts w:ascii="Arial"/>
                <w:sz w:val="21"/>
                <w:highlight w:val="none"/>
              </w:rPr>
            </w:pPr>
            <w:r>
              <w:rPr>
                <w:rFonts w:ascii="Arial"/>
                <w:sz w:val="21"/>
                <w:highlight w:val="none"/>
              </w:rPr>
            </w:r>
            <w:r/>
          </w:p>
        </w:tc>
        <w:tc>
          <w:tcPr>
            <w:tcW w:w="1439" w:type="dxa"/>
            <w:vAlign w:val="top"/>
            <w:textDirection w:val="lrTb"/>
            <w:noWrap w:val="false"/>
          </w:tcPr>
          <w:p>
            <w:pPr>
              <w:rPr>
                <w:rFonts w:ascii="Arial"/>
                <w:sz w:val="21"/>
                <w:highlight w:val="none"/>
              </w:rPr>
            </w:pPr>
            <w:r>
              <w:rPr>
                <w:rFonts w:ascii="Arial"/>
                <w:sz w:val="21"/>
                <w:highlight w:val="none"/>
              </w:rPr>
            </w:r>
            <w:r/>
          </w:p>
        </w:tc>
        <w:tc>
          <w:tcPr>
            <w:tcW w:w="1084" w:type="dxa"/>
            <w:vAlign w:val="top"/>
            <w:textDirection w:val="lrTb"/>
            <w:noWrap w:val="false"/>
          </w:tcPr>
          <w:p>
            <w:pPr>
              <w:rPr>
                <w:rFonts w:ascii="Arial"/>
                <w:sz w:val="21"/>
                <w:highlight w:val="none"/>
              </w:rPr>
            </w:pPr>
            <w:r>
              <w:rPr>
                <w:rFonts w:ascii="Arial"/>
                <w:sz w:val="21"/>
                <w:highlight w:val="none"/>
              </w:rPr>
            </w:r>
            <w:r/>
          </w:p>
        </w:tc>
      </w:tr>
      <w:tr>
        <w:trPr>
          <w:jc w:val="center"/>
          <w:trHeight w:val="413"/>
        </w:trPr>
        <w:tc>
          <w:tcPr>
            <w:tcW w:w="904"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1079" w:type="dxa"/>
            <w:vAlign w:val="top"/>
            <w:textDirection w:val="lrTb"/>
            <w:noWrap w:val="false"/>
          </w:tcPr>
          <w:p>
            <w:pPr>
              <w:rPr>
                <w:rFonts w:ascii="Arial"/>
                <w:sz w:val="21"/>
                <w:highlight w:val="none"/>
              </w:rPr>
            </w:pPr>
            <w:r>
              <w:rPr>
                <w:rFonts w:ascii="Arial"/>
                <w:sz w:val="21"/>
                <w:highlight w:val="none"/>
              </w:rPr>
            </w:r>
            <w:r/>
          </w:p>
        </w:tc>
        <w:tc>
          <w:tcPr>
            <w:tcW w:w="1259" w:type="dxa"/>
            <w:vAlign w:val="top"/>
            <w:textDirection w:val="lrTb"/>
            <w:noWrap w:val="false"/>
          </w:tcPr>
          <w:p>
            <w:pPr>
              <w:rPr>
                <w:rFonts w:ascii="Arial"/>
                <w:sz w:val="21"/>
                <w:highlight w:val="none"/>
              </w:rPr>
            </w:pPr>
            <w:r>
              <w:rPr>
                <w:rFonts w:ascii="Arial"/>
                <w:sz w:val="21"/>
                <w:highlight w:val="none"/>
              </w:rPr>
            </w:r>
            <w:r/>
          </w:p>
        </w:tc>
        <w:tc>
          <w:tcPr>
            <w:tcW w:w="1315" w:type="dxa"/>
            <w:vAlign w:val="top"/>
            <w:textDirection w:val="lrTb"/>
            <w:noWrap w:val="false"/>
          </w:tcPr>
          <w:p>
            <w:pPr>
              <w:rPr>
                <w:rFonts w:ascii="Arial"/>
                <w:sz w:val="21"/>
                <w:highlight w:val="none"/>
              </w:rPr>
            </w:pPr>
            <w:r>
              <w:rPr>
                <w:rFonts w:ascii="Arial"/>
                <w:sz w:val="21"/>
                <w:highlight w:val="none"/>
              </w:rPr>
            </w:r>
            <w:r/>
          </w:p>
        </w:tc>
        <w:tc>
          <w:tcPr>
            <w:tcW w:w="1439" w:type="dxa"/>
            <w:vAlign w:val="top"/>
            <w:textDirection w:val="lrTb"/>
            <w:noWrap w:val="false"/>
          </w:tcPr>
          <w:p>
            <w:pPr>
              <w:rPr>
                <w:rFonts w:ascii="Arial"/>
                <w:sz w:val="21"/>
                <w:highlight w:val="none"/>
              </w:rPr>
            </w:pPr>
            <w:r>
              <w:rPr>
                <w:rFonts w:ascii="Arial"/>
                <w:sz w:val="21"/>
                <w:highlight w:val="none"/>
              </w:rPr>
            </w:r>
            <w:r/>
          </w:p>
        </w:tc>
        <w:tc>
          <w:tcPr>
            <w:tcW w:w="1084" w:type="dxa"/>
            <w:vAlign w:val="top"/>
            <w:textDirection w:val="lrTb"/>
            <w:noWrap w:val="false"/>
          </w:tcPr>
          <w:p>
            <w:pPr>
              <w:rPr>
                <w:rFonts w:ascii="Arial"/>
                <w:sz w:val="21"/>
                <w:highlight w:val="none"/>
              </w:rPr>
            </w:pPr>
            <w:r>
              <w:rPr>
                <w:rFonts w:ascii="Arial"/>
                <w:sz w:val="21"/>
                <w:highlight w:val="none"/>
              </w:rPr>
            </w:r>
            <w:r/>
          </w:p>
        </w:tc>
      </w:tr>
      <w:tr>
        <w:trPr>
          <w:jc w:val="center"/>
          <w:trHeight w:val="418"/>
        </w:trPr>
        <w:tc>
          <w:tcPr>
            <w:tcW w:w="904"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1079" w:type="dxa"/>
            <w:vAlign w:val="top"/>
            <w:textDirection w:val="lrTb"/>
            <w:noWrap w:val="false"/>
          </w:tcPr>
          <w:p>
            <w:pPr>
              <w:rPr>
                <w:rFonts w:ascii="Arial"/>
                <w:sz w:val="21"/>
                <w:highlight w:val="none"/>
              </w:rPr>
            </w:pPr>
            <w:r>
              <w:rPr>
                <w:rFonts w:ascii="Arial"/>
                <w:sz w:val="21"/>
                <w:highlight w:val="none"/>
              </w:rPr>
            </w:r>
            <w:r/>
          </w:p>
        </w:tc>
        <w:tc>
          <w:tcPr>
            <w:tcW w:w="1259" w:type="dxa"/>
            <w:vAlign w:val="top"/>
            <w:textDirection w:val="lrTb"/>
            <w:noWrap w:val="false"/>
          </w:tcPr>
          <w:p>
            <w:pPr>
              <w:rPr>
                <w:rFonts w:ascii="Arial"/>
                <w:sz w:val="21"/>
                <w:highlight w:val="none"/>
              </w:rPr>
            </w:pPr>
            <w:r>
              <w:rPr>
                <w:rFonts w:ascii="Arial"/>
                <w:sz w:val="21"/>
                <w:highlight w:val="none"/>
              </w:rPr>
            </w:r>
            <w:r/>
          </w:p>
        </w:tc>
        <w:tc>
          <w:tcPr>
            <w:tcW w:w="1315" w:type="dxa"/>
            <w:vAlign w:val="top"/>
            <w:textDirection w:val="lrTb"/>
            <w:noWrap w:val="false"/>
          </w:tcPr>
          <w:p>
            <w:pPr>
              <w:rPr>
                <w:rFonts w:ascii="Arial"/>
                <w:sz w:val="21"/>
                <w:highlight w:val="none"/>
              </w:rPr>
            </w:pPr>
            <w:r>
              <w:rPr>
                <w:rFonts w:ascii="Arial"/>
                <w:sz w:val="21"/>
                <w:highlight w:val="none"/>
              </w:rPr>
            </w:r>
            <w:r/>
          </w:p>
        </w:tc>
        <w:tc>
          <w:tcPr>
            <w:tcW w:w="1439" w:type="dxa"/>
            <w:vAlign w:val="top"/>
            <w:textDirection w:val="lrTb"/>
            <w:noWrap w:val="false"/>
          </w:tcPr>
          <w:p>
            <w:pPr>
              <w:rPr>
                <w:rFonts w:ascii="Arial"/>
                <w:sz w:val="21"/>
                <w:highlight w:val="none"/>
              </w:rPr>
            </w:pPr>
            <w:r>
              <w:rPr>
                <w:rFonts w:ascii="Arial"/>
                <w:sz w:val="21"/>
                <w:highlight w:val="none"/>
              </w:rPr>
            </w:r>
            <w:r/>
          </w:p>
        </w:tc>
        <w:tc>
          <w:tcPr>
            <w:tcW w:w="1084" w:type="dxa"/>
            <w:vAlign w:val="top"/>
            <w:textDirection w:val="lrTb"/>
            <w:noWrap w:val="false"/>
          </w:tcPr>
          <w:p>
            <w:pPr>
              <w:rPr>
                <w:rFonts w:ascii="Arial"/>
                <w:sz w:val="21"/>
                <w:highlight w:val="none"/>
              </w:rPr>
            </w:pPr>
            <w:r>
              <w:rPr>
                <w:rFonts w:ascii="Arial"/>
                <w:sz w:val="21"/>
                <w:highlight w:val="none"/>
              </w:rPr>
            </w:r>
            <w:r/>
          </w:p>
        </w:tc>
      </w:tr>
    </w:tbl>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r>
      <w:bookmarkEnd w:id="39"/>
      <w:r/>
      <w:r/>
    </w:p>
    <w:p>
      <w:pPr>
        <w:jc w:val="center"/>
        <w:widowControl/>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07"/>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4193"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567"/>
        </w:trPr>
        <w:tc>
          <w:tcPr>
            <w:tcW w:w="4327"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93"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Arial Unicode MS">
    <w:panose1 w:val="020B0604020202020204"/>
  </w:font>
  <w:font w:name="新宋体">
    <w:panose1 w:val="02010609030101010101"/>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8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Pr>
        <w:rFonts w:hint="eastAsia" w:ascii="宋体" w:hAnsi="宋体" w:cs="宋体"/>
        <w:lang w:eastAsia="zh-CN"/>
      </w:rPr>
      <w:t xml:space="preserve">JSZC-321012-JSWC-G2025-0080</w:t>
    </w:r>
    <w:r>
      <w:rPr>
        <w:rFonts w:hint="eastAsia" w:ascii="宋体" w:hAnsi="宋体" w:cs="宋体"/>
      </w:rPr>
      <w:t xml:space="preserve">号</w:t>
    </w:r>
    <w:r>
      <w:rPr>
        <w:rFonts w:hint="eastAsia"/>
      </w:rP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Pr>
        <w:rFonts w:hint="eastAsia" w:ascii="宋体" w:hAnsi="宋体" w:cs="宋体"/>
        <w:lang w:eastAsia="zh-CN"/>
      </w:rPr>
      <w:t xml:space="preserve">JSZC-321012-JSWC-G2025-0080</w:t>
    </w:r>
    <w:r>
      <w:rPr>
        <w:rFonts w:hint="eastAsia" w:ascii="宋体" w:hAnsi="宋体" w:cs="宋体"/>
      </w:rPr>
      <w:t xml:space="preserve">号</w:t>
    </w:r>
    <w:r>
      <w:rPr>
        <w:rFonts w:hint="eastAsia"/>
      </w:rPr>
      <w:t xml:space="preserve">                                      江苏唯诚建设咨询有限公司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rPr>
        <w:rFonts w:hint="eastAsia"/>
      </w:rPr>
      <w:pBdr>
        <w:bottom w:val="single" w:color="auto" w:sz="4" w:space="1"/>
      </w:pBdr>
    </w:pPr>
    <w:r>
      <w:rPr>
        <w:rFonts w:hint="eastAsia"/>
        <w:lang w:eastAsia="zh-CN"/>
      </w:rPr>
      <w:t xml:space="preserve">JSZC-321012-JSWC-G2025-0080</w:t>
    </w:r>
    <w:r>
      <w:rPr>
        <w:rFonts w:hint="eastAsia"/>
      </w:rPr>
      <w:t xml:space="preserve">号                                      江苏唯诚建设咨询有限公司</w:t>
    </w:r>
    <w:r/>
  </w:p>
  <w:p>
    <w:pPr>
      <w:pStyle w:val="82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19"/>
      <w:isLgl/>
      <w:suff w:val="tab"/>
      <w:lvlText w:val="%1.%2"/>
      <w:lvlJc w:val="left"/>
      <w:pPr>
        <w:ind w:left="0" w:firstLine="0"/>
        <w:tabs>
          <w:tab w:val="left" w:pos="851" w:leader="none"/>
        </w:tabs>
      </w:pPr>
    </w:lvl>
    <w:lvl w:ilvl="2">
      <w:start w:val="1"/>
      <w:numFmt w:val="decimal"/>
      <w:pStyle w:val="1103"/>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bullet"/>
      <w:pStyle w:val="1099"/>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bullet"/>
      <w:pStyle w:val="104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vertAlign w:val="baseline"/>
      </w:rPr>
    </w:lvl>
    <w:lvl w:ilvl="1">
      <w:start w:val="1"/>
      <w:numFmt w:val="decimal"/>
      <w:pStyle w:val="798"/>
      <w:isLgl w:val="false"/>
      <w:suff w:val="space"/>
      <w:lvlText w:val="%1.%2"/>
      <w:lvlJc w:val="left"/>
      <w:pPr>
        <w:ind w:left="851" w:hanging="567"/>
      </w:pPr>
      <w:rPr>
        <w:rFonts w:hint="default" w:ascii="Arial" w:hAnsi="Arial" w:eastAsia="黑体"/>
        <w:b/>
        <w:i w:val="0"/>
        <w:sz w:val="28"/>
        <w:szCs w:val="28"/>
      </w:rPr>
    </w:lvl>
    <w:lvl w:ilvl="2">
      <w:start w:val="1"/>
      <w:numFmt w:val="decimal"/>
      <w:pStyle w:val="799"/>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japaneseCounting"/>
      <w:pStyle w:val="1109"/>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4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link w:val="11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97">
    <w:name w:val="Heading 1"/>
    <w:basedOn w:val="796"/>
    <w:next w:val="796"/>
    <w:link w:val="1018"/>
    <w:uiPriority w:val="9"/>
    <w:qFormat/>
    <w:pPr>
      <w:keepLines/>
      <w:keepNext/>
      <w:spacing w:before="340" w:after="330" w:line="578" w:lineRule="auto"/>
      <w:outlineLvl w:val="0"/>
    </w:pPr>
    <w:rPr>
      <w:b/>
      <w:bCs/>
      <w:sz w:val="44"/>
      <w:szCs w:val="44"/>
    </w:rPr>
  </w:style>
  <w:style w:type="paragraph" w:styleId="798">
    <w:name w:val="Heading 2"/>
    <w:basedOn w:val="796"/>
    <w:next w:val="808"/>
    <w:link w:val="1019"/>
    <w:uiPriority w:val="9"/>
    <w:qFormat/>
    <w:pPr>
      <w:numPr>
        <w:ilvl w:val="1"/>
        <w:numId w:val="1"/>
      </w:numPr>
      <w:jc w:val="left"/>
      <w:keepLines/>
      <w:keepNext/>
      <w:spacing w:before="312" w:after="312"/>
      <w:outlineLvl w:val="1"/>
    </w:pPr>
    <w:rPr>
      <w:rFonts w:ascii="Arial" w:hAnsi="Arial"/>
      <w:b/>
      <w:bCs/>
      <w:sz w:val="28"/>
      <w:szCs w:val="36"/>
    </w:rPr>
  </w:style>
  <w:style w:type="paragraph" w:styleId="799">
    <w:name w:val="Heading 3"/>
    <w:basedOn w:val="796"/>
    <w:next w:val="796"/>
    <w:link w:val="1021"/>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800">
    <w:name w:val="Heading 4"/>
    <w:basedOn w:val="796"/>
    <w:next w:val="808"/>
    <w:link w:val="1022"/>
    <w:uiPriority w:val="0"/>
    <w:qFormat/>
    <w:pPr>
      <w:spacing w:before="280" w:after="290" w:line="377" w:lineRule="auto"/>
      <w:outlineLvl w:val="3"/>
    </w:pPr>
    <w:rPr>
      <w:rFonts w:ascii="Arial" w:hAnsi="Arial" w:eastAsia="黑体"/>
      <w:b/>
      <w:bCs/>
      <w:sz w:val="28"/>
      <w:szCs w:val="28"/>
    </w:rPr>
  </w:style>
  <w:style w:type="paragraph" w:styleId="801">
    <w:name w:val="Heading 5"/>
    <w:basedOn w:val="796"/>
    <w:next w:val="796"/>
    <w:link w:val="1023"/>
    <w:uiPriority w:val="0"/>
    <w:qFormat/>
    <w:pPr>
      <w:keepLines/>
      <w:keepNext/>
      <w:spacing w:before="280" w:after="290" w:line="376" w:lineRule="auto"/>
      <w:outlineLvl w:val="4"/>
    </w:pPr>
    <w:rPr>
      <w:rFonts w:ascii="Calibri" w:hAnsi="Calibri"/>
      <w:b/>
      <w:bCs/>
      <w:sz w:val="28"/>
      <w:szCs w:val="28"/>
    </w:rPr>
  </w:style>
  <w:style w:type="paragraph" w:styleId="802">
    <w:name w:val="Heading 6"/>
    <w:basedOn w:val="796"/>
    <w:next w:val="796"/>
    <w:link w:val="1024"/>
    <w:uiPriority w:val="0"/>
    <w:qFormat/>
    <w:pPr>
      <w:ind w:left="1152" w:hanging="1152"/>
      <w:keepLines/>
      <w:keepNext/>
      <w:spacing w:before="240" w:after="64" w:line="320" w:lineRule="auto"/>
      <w:outlineLvl w:val="5"/>
    </w:pPr>
    <w:rPr>
      <w:rFonts w:ascii="Cambria" w:hAnsi="Cambria"/>
      <w:b/>
      <w:bCs/>
      <w:sz w:val="24"/>
      <w:szCs w:val="24"/>
    </w:rPr>
  </w:style>
  <w:style w:type="paragraph" w:styleId="803">
    <w:name w:val="Heading 7"/>
    <w:basedOn w:val="796"/>
    <w:next w:val="796"/>
    <w:link w:val="1025"/>
    <w:uiPriority w:val="0"/>
    <w:qFormat/>
    <w:pPr>
      <w:ind w:left="1296" w:hanging="1296"/>
      <w:keepLines/>
      <w:keepNext/>
      <w:spacing w:before="240" w:after="64" w:line="320" w:lineRule="auto"/>
      <w:outlineLvl w:val="6"/>
    </w:pPr>
    <w:rPr>
      <w:b/>
      <w:bCs/>
      <w:sz w:val="24"/>
      <w:szCs w:val="24"/>
    </w:rPr>
  </w:style>
  <w:style w:type="paragraph" w:styleId="804">
    <w:name w:val="Heading 8"/>
    <w:basedOn w:val="796"/>
    <w:next w:val="796"/>
    <w:link w:val="1026"/>
    <w:uiPriority w:val="0"/>
    <w:qFormat/>
    <w:pPr>
      <w:ind w:left="1440" w:hanging="1440"/>
      <w:keepLines/>
      <w:keepNext/>
      <w:spacing w:before="240" w:after="64" w:line="320" w:lineRule="auto"/>
      <w:outlineLvl w:val="7"/>
    </w:pPr>
    <w:rPr>
      <w:rFonts w:ascii="Cambria" w:hAnsi="Cambria"/>
      <w:sz w:val="24"/>
      <w:szCs w:val="24"/>
    </w:rPr>
  </w:style>
  <w:style w:type="paragraph" w:styleId="805">
    <w:name w:val="Heading 9"/>
    <w:basedOn w:val="796"/>
    <w:next w:val="796"/>
    <w:link w:val="1027"/>
    <w:uiPriority w:val="0"/>
    <w:qFormat/>
    <w:pPr>
      <w:ind w:left="1584" w:hanging="1584"/>
      <w:keepLines/>
      <w:keepNext/>
      <w:spacing w:before="240" w:after="64" w:line="320" w:lineRule="auto"/>
      <w:outlineLvl w:val="8"/>
    </w:pPr>
    <w:rPr>
      <w:rFonts w:ascii="Cambria" w:hAnsi="Cambria"/>
      <w:sz w:val="20"/>
      <w:szCs w:val="21"/>
    </w:rPr>
  </w:style>
  <w:style w:type="character" w:styleId="806" w:default="1">
    <w:name w:val="Default Paragraph Font"/>
    <w:uiPriority w:val="1"/>
    <w:unhideWhenUsed/>
    <w:qFormat/>
  </w:style>
  <w:style w:type="table" w:styleId="807" w:default="1">
    <w:name w:val="Normal Table"/>
    <w:uiPriority w:val="99"/>
    <w:unhideWhenUsed/>
    <w:qFormat/>
    <w:tblPr>
      <w:tblCellMar>
        <w:left w:w="108" w:type="dxa"/>
        <w:top w:w="0" w:type="dxa"/>
        <w:right w:w="108" w:type="dxa"/>
        <w:bottom w:w="0" w:type="dxa"/>
      </w:tblCellMar>
    </w:tblPr>
  </w:style>
  <w:style w:type="paragraph" w:styleId="808">
    <w:name w:val="Normal Indent"/>
    <w:basedOn w:val="796"/>
    <w:link w:val="1020"/>
    <w:uiPriority w:val="0"/>
    <w:unhideWhenUsed/>
    <w:qFormat/>
    <w:pPr>
      <w:ind w:firstLine="420"/>
    </w:pPr>
  </w:style>
  <w:style w:type="paragraph" w:styleId="809">
    <w:name w:val="toc 7"/>
    <w:basedOn w:val="796"/>
    <w:next w:val="796"/>
    <w:uiPriority w:val="39"/>
    <w:unhideWhenUsed/>
    <w:qFormat/>
    <w:pPr>
      <w:ind w:left="1701" w:right="0" w:firstLine="0"/>
      <w:spacing w:after="57"/>
    </w:pPr>
  </w:style>
  <w:style w:type="paragraph" w:styleId="810">
    <w:name w:val="Caption"/>
    <w:basedOn w:val="796"/>
    <w:next w:val="796"/>
    <w:uiPriority w:val="0"/>
    <w:qFormat/>
    <w:rPr>
      <w:rFonts w:ascii="Arial" w:hAnsi="Arial" w:eastAsia="黑体"/>
      <w:sz w:val="20"/>
    </w:rPr>
  </w:style>
  <w:style w:type="paragraph" w:styleId="811">
    <w:name w:val="Document Map"/>
    <w:basedOn w:val="796"/>
    <w:link w:val="1028"/>
    <w:uiPriority w:val="0"/>
    <w:qFormat/>
    <w:rPr>
      <w:rFonts w:ascii="宋体"/>
      <w:sz w:val="18"/>
      <w:szCs w:val="18"/>
    </w:rPr>
  </w:style>
  <w:style w:type="paragraph" w:styleId="812">
    <w:name w:val="annotation text"/>
    <w:basedOn w:val="796"/>
    <w:link w:val="1029"/>
    <w:uiPriority w:val="99"/>
    <w:unhideWhenUsed/>
    <w:qFormat/>
    <w:pPr>
      <w:jc w:val="left"/>
    </w:pPr>
    <w:rPr>
      <w:sz w:val="20"/>
      <w:szCs w:val="24"/>
    </w:rPr>
  </w:style>
  <w:style w:type="paragraph" w:styleId="813">
    <w:name w:val="Body Text 3"/>
    <w:basedOn w:val="796"/>
    <w:next w:val="796"/>
    <w:link w:val="1030"/>
    <w:uiPriority w:val="0"/>
    <w:qFormat/>
    <w:rPr>
      <w:rFonts w:ascii="宋体"/>
      <w:sz w:val="24"/>
      <w:szCs w:val="20"/>
    </w:rPr>
  </w:style>
  <w:style w:type="paragraph" w:styleId="814">
    <w:name w:val="Body Text"/>
    <w:basedOn w:val="796"/>
    <w:next w:val="796"/>
    <w:link w:val="1031"/>
    <w:uiPriority w:val="0"/>
    <w:qFormat/>
    <w:rPr>
      <w:rFonts w:ascii="楷体_GB2312" w:hAnsi="Arial" w:eastAsia="楷体_GB2312"/>
      <w:sz w:val="28"/>
      <w:szCs w:val="28"/>
    </w:rPr>
  </w:style>
  <w:style w:type="paragraph" w:styleId="815">
    <w:name w:val="Body Text Indent"/>
    <w:basedOn w:val="796"/>
    <w:next w:val="796"/>
    <w:link w:val="1032"/>
    <w:uiPriority w:val="99"/>
    <w:qFormat/>
    <w:pPr>
      <w:ind w:left="420"/>
      <w:spacing w:after="120"/>
    </w:pPr>
    <w:rPr>
      <w:sz w:val="20"/>
      <w:szCs w:val="24"/>
    </w:rPr>
  </w:style>
  <w:style w:type="paragraph" w:styleId="816">
    <w:name w:val="Block Text"/>
    <w:basedOn w:val="796"/>
    <w:next w:val="796"/>
    <w:uiPriority w:val="99"/>
    <w:unhideWhenUsed/>
    <w:qFormat/>
    <w:pPr>
      <w:ind w:left="1440" w:right="1440"/>
      <w:spacing w:after="120"/>
    </w:pPr>
  </w:style>
  <w:style w:type="paragraph" w:styleId="817">
    <w:name w:val="List Bullet 2"/>
    <w:basedOn w:val="796"/>
    <w:uiPriority w:val="99"/>
    <w:unhideWhenUsed/>
    <w:qFormat/>
    <w:pPr>
      <w:numPr>
        <w:ilvl w:val="0"/>
        <w:numId w:val="2"/>
      </w:numPr>
    </w:pPr>
  </w:style>
  <w:style w:type="paragraph" w:styleId="818">
    <w:name w:val="toc 5"/>
    <w:basedOn w:val="796"/>
    <w:next w:val="796"/>
    <w:uiPriority w:val="39"/>
    <w:unhideWhenUsed/>
    <w:qFormat/>
    <w:pPr>
      <w:ind w:left="1134" w:right="0" w:firstLine="0"/>
      <w:spacing w:after="57"/>
    </w:pPr>
  </w:style>
  <w:style w:type="paragraph" w:styleId="819">
    <w:name w:val="toc 3"/>
    <w:basedOn w:val="796"/>
    <w:next w:val="796"/>
    <w:uiPriority w:val="39"/>
    <w:unhideWhenUsed/>
    <w:qFormat/>
    <w:pPr>
      <w:ind w:left="840"/>
    </w:pPr>
    <w:rPr>
      <w:rFonts w:ascii="Calibri" w:hAnsi="Calibri" w:eastAsia="宋体" w:cs="Times New Roman"/>
    </w:rPr>
  </w:style>
  <w:style w:type="paragraph" w:styleId="820">
    <w:name w:val="Plain Text"/>
    <w:basedOn w:val="796"/>
    <w:link w:val="1033"/>
    <w:uiPriority w:val="0"/>
    <w:qFormat/>
    <w:rPr>
      <w:rFonts w:ascii="宋体" w:hAnsi="Courier New"/>
      <w:sz w:val="20"/>
      <w:szCs w:val="21"/>
    </w:rPr>
  </w:style>
  <w:style w:type="paragraph" w:styleId="821">
    <w:name w:val="toc 8"/>
    <w:basedOn w:val="796"/>
    <w:next w:val="796"/>
    <w:uiPriority w:val="39"/>
    <w:unhideWhenUsed/>
    <w:qFormat/>
    <w:pPr>
      <w:ind w:left="1984" w:right="0" w:firstLine="0"/>
      <w:spacing w:after="57"/>
    </w:pPr>
  </w:style>
  <w:style w:type="paragraph" w:styleId="822">
    <w:name w:val="Body Text Indent 2"/>
    <w:basedOn w:val="796"/>
    <w:link w:val="1034"/>
    <w:uiPriority w:val="0"/>
    <w:qFormat/>
    <w:pPr>
      <w:ind w:firstLine="562"/>
      <w:spacing w:line="480" w:lineRule="exact"/>
    </w:pPr>
    <w:rPr>
      <w:rFonts w:ascii="楷体_GB2312" w:eastAsia="楷体_GB2312"/>
      <w:b/>
      <w:bCs/>
      <w:sz w:val="28"/>
      <w:szCs w:val="24"/>
    </w:rPr>
  </w:style>
  <w:style w:type="paragraph" w:styleId="823">
    <w:name w:val="endnote text"/>
    <w:basedOn w:val="796"/>
    <w:link w:val="1007"/>
    <w:uiPriority w:val="99"/>
    <w:semiHidden/>
    <w:unhideWhenUsed/>
    <w:qFormat/>
    <w:pPr>
      <w:spacing w:after="0" w:line="240" w:lineRule="auto"/>
    </w:pPr>
    <w:rPr>
      <w:sz w:val="20"/>
    </w:rPr>
  </w:style>
  <w:style w:type="paragraph" w:styleId="824">
    <w:name w:val="Balloon Text"/>
    <w:basedOn w:val="796"/>
    <w:link w:val="1035"/>
    <w:uiPriority w:val="99"/>
    <w:unhideWhenUsed/>
    <w:qFormat/>
    <w:rPr>
      <w:sz w:val="18"/>
      <w:szCs w:val="18"/>
    </w:rPr>
  </w:style>
  <w:style w:type="paragraph" w:styleId="825">
    <w:name w:val="Footer"/>
    <w:basedOn w:val="796"/>
    <w:link w:val="1036"/>
    <w:uiPriority w:val="99"/>
    <w:unhideWhenUsed/>
    <w:qFormat/>
    <w:pPr>
      <w:jc w:val="left"/>
      <w:tabs>
        <w:tab w:val="center" w:pos="4153" w:leader="none"/>
        <w:tab w:val="right" w:pos="8306" w:leader="none"/>
      </w:tabs>
    </w:pPr>
    <w:rPr>
      <w:sz w:val="18"/>
      <w:szCs w:val="18"/>
    </w:rPr>
  </w:style>
  <w:style w:type="paragraph" w:styleId="826">
    <w:name w:val="envelope return"/>
    <w:basedOn w:val="796"/>
    <w:uiPriority w:val="0"/>
    <w:qFormat/>
    <w:rPr>
      <w:rFonts w:ascii="Arial" w:hAnsi="Arial" w:eastAsia="宋体" w:cs="Times New Roman"/>
    </w:rPr>
  </w:style>
  <w:style w:type="paragraph" w:styleId="827">
    <w:name w:val="Header"/>
    <w:basedOn w:val="796"/>
    <w:link w:val="103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8">
    <w:name w:val="toc 1"/>
    <w:basedOn w:val="796"/>
    <w:next w:val="796"/>
    <w:uiPriority w:val="39"/>
    <w:unhideWhenUsed/>
    <w:qFormat/>
    <w:rPr>
      <w:rFonts w:ascii="Calibri" w:hAnsi="Calibri" w:eastAsia="宋体" w:cs="Times New Roman"/>
    </w:rPr>
  </w:style>
  <w:style w:type="paragraph" w:styleId="829">
    <w:name w:val="toc 4"/>
    <w:basedOn w:val="796"/>
    <w:next w:val="796"/>
    <w:uiPriority w:val="39"/>
    <w:unhideWhenUsed/>
    <w:qFormat/>
    <w:pPr>
      <w:ind w:left="850" w:right="0" w:firstLine="0"/>
      <w:spacing w:after="57"/>
    </w:pPr>
  </w:style>
  <w:style w:type="paragraph" w:styleId="830">
    <w:name w:val="Subtitle"/>
    <w:basedOn w:val="796"/>
    <w:next w:val="796"/>
    <w:link w:val="873"/>
    <w:uiPriority w:val="11"/>
    <w:qFormat/>
    <w:pPr>
      <w:spacing w:before="200" w:after="200"/>
    </w:pPr>
    <w:rPr>
      <w:sz w:val="24"/>
      <w:szCs w:val="24"/>
    </w:rPr>
  </w:style>
  <w:style w:type="paragraph" w:styleId="831">
    <w:name w:val="List"/>
    <w:basedOn w:val="796"/>
    <w:uiPriority w:val="99"/>
    <w:qFormat/>
    <w:pPr>
      <w:ind w:left="200" w:hanging="200"/>
    </w:pPr>
    <w:rPr>
      <w:szCs w:val="24"/>
    </w:rPr>
  </w:style>
  <w:style w:type="paragraph" w:styleId="832">
    <w:name w:val="footnote text"/>
    <w:basedOn w:val="796"/>
    <w:link w:val="1006"/>
    <w:uiPriority w:val="99"/>
    <w:semiHidden/>
    <w:unhideWhenUsed/>
    <w:qFormat/>
    <w:pPr>
      <w:spacing w:after="40" w:line="240" w:lineRule="auto"/>
    </w:pPr>
    <w:rPr>
      <w:sz w:val="18"/>
    </w:rPr>
  </w:style>
  <w:style w:type="paragraph" w:styleId="833">
    <w:name w:val="toc 6"/>
    <w:basedOn w:val="796"/>
    <w:next w:val="796"/>
    <w:uiPriority w:val="39"/>
    <w:unhideWhenUsed/>
    <w:qFormat/>
    <w:pPr>
      <w:ind w:left="1417" w:right="0" w:firstLine="0"/>
      <w:spacing w:after="57"/>
    </w:pPr>
  </w:style>
  <w:style w:type="paragraph" w:styleId="834">
    <w:name w:val="table of figures"/>
    <w:basedOn w:val="796"/>
    <w:next w:val="796"/>
    <w:uiPriority w:val="0"/>
    <w:semiHidden/>
    <w:qFormat/>
    <w:pPr>
      <w:ind w:left="840" w:hanging="420"/>
      <w:spacing w:before="156" w:after="156"/>
    </w:pPr>
    <w:rPr>
      <w:rFonts w:ascii="Times New Roman" w:hAnsi="Times New Roman" w:eastAsia="宋体" w:cs="Times New Roman"/>
      <w:sz w:val="24"/>
      <w:szCs w:val="24"/>
    </w:rPr>
  </w:style>
  <w:style w:type="paragraph" w:styleId="835">
    <w:name w:val="toc 2"/>
    <w:basedOn w:val="796"/>
    <w:next w:val="796"/>
    <w:uiPriority w:val="39"/>
    <w:unhideWhenUsed/>
    <w:qFormat/>
    <w:pPr>
      <w:ind w:left="420"/>
    </w:pPr>
    <w:rPr>
      <w:rFonts w:ascii="Calibri" w:hAnsi="Calibri" w:eastAsia="宋体" w:cs="Times New Roman"/>
    </w:rPr>
  </w:style>
  <w:style w:type="paragraph" w:styleId="836">
    <w:name w:val="toc 9"/>
    <w:basedOn w:val="796"/>
    <w:next w:val="796"/>
    <w:uiPriority w:val="0"/>
    <w:semiHidden/>
    <w:qFormat/>
    <w:pPr>
      <w:ind w:left="3360"/>
    </w:pPr>
  </w:style>
  <w:style w:type="paragraph" w:styleId="837">
    <w:name w:val="Body Text 2"/>
    <w:basedOn w:val="796"/>
    <w:uiPriority w:val="0"/>
    <w:qFormat/>
    <w:pPr>
      <w:spacing w:after="120" w:line="480" w:lineRule="auto"/>
    </w:pPr>
  </w:style>
  <w:style w:type="paragraph" w:styleId="838">
    <w:name w:val="Normal (Web)"/>
    <w:basedOn w:val="796"/>
    <w:uiPriority w:val="99"/>
    <w:unhideWhenUsed/>
    <w:qFormat/>
    <w:rPr>
      <w:rFonts w:ascii="Times New Roman" w:hAnsi="Times New Roman" w:eastAsia="宋体" w:cs="Times New Roman"/>
      <w:sz w:val="24"/>
    </w:rPr>
  </w:style>
  <w:style w:type="paragraph" w:styleId="839">
    <w:name w:val="Title"/>
    <w:basedOn w:val="796"/>
    <w:next w:val="796"/>
    <w:link w:val="872"/>
    <w:uiPriority w:val="10"/>
    <w:qFormat/>
    <w:pPr>
      <w:contextualSpacing/>
      <w:spacing w:before="300" w:after="200"/>
    </w:pPr>
    <w:rPr>
      <w:sz w:val="48"/>
      <w:szCs w:val="48"/>
    </w:rPr>
  </w:style>
  <w:style w:type="paragraph" w:styleId="840">
    <w:name w:val="annotation subject"/>
    <w:basedOn w:val="812"/>
    <w:next w:val="812"/>
    <w:link w:val="1038"/>
    <w:uiPriority w:val="99"/>
    <w:unhideWhenUsed/>
    <w:qFormat/>
    <w:rPr>
      <w:b/>
      <w:bCs/>
      <w:szCs w:val="20"/>
    </w:rPr>
  </w:style>
  <w:style w:type="paragraph" w:styleId="841">
    <w:name w:val="Body Text First Indent"/>
    <w:basedOn w:val="814"/>
    <w:uiPriority w:val="0"/>
    <w:qFormat/>
    <w:pPr>
      <w:ind w:left="300" w:firstLine="420"/>
      <w:spacing w:after="120"/>
    </w:pPr>
    <w:rPr>
      <w:rFonts w:ascii="宋体" w:hAnsi="Verdana"/>
      <w:sz w:val="28"/>
      <w:lang w:val="en-GB"/>
    </w:rPr>
  </w:style>
  <w:style w:type="paragraph" w:styleId="842">
    <w:name w:val="Body Text First Indent 2"/>
    <w:basedOn w:val="815"/>
    <w:link w:val="1039"/>
    <w:uiPriority w:val="99"/>
    <w:qFormat/>
    <w:pPr>
      <w:ind w:firstLine="420"/>
    </w:pPr>
  </w:style>
  <w:style w:type="table" w:styleId="843">
    <w:name w:val="Table Grid"/>
    <w:basedOn w:val="807"/>
    <w:uiPriority w:val="39"/>
    <w:qFormat/>
    <w:pPr>
      <w:jc w:val="both"/>
      <w:widowControl w:val="off"/>
    </w:pPr>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name w:val="Strong"/>
    <w:uiPriority w:val="22"/>
    <w:qFormat/>
    <w:rPr>
      <w:rFonts w:ascii="Tahoma" w:hAnsi="Tahoma" w:eastAsia="宋体"/>
      <w:b/>
      <w:bCs/>
      <w:spacing w:val="10"/>
      <w:sz w:val="24"/>
      <w:lang w:val="en-US" w:eastAsia="zh-CN" w:bidi="ar-SA"/>
    </w:rPr>
  </w:style>
  <w:style w:type="character" w:styleId="845">
    <w:name w:val="endnote reference"/>
    <w:basedOn w:val="806"/>
    <w:uiPriority w:val="99"/>
    <w:semiHidden/>
    <w:unhideWhenUsed/>
    <w:qFormat/>
    <w:rPr>
      <w:vertAlign w:val="superscript"/>
    </w:rPr>
  </w:style>
  <w:style w:type="character" w:styleId="846">
    <w:name w:val="page number"/>
    <w:uiPriority w:val="0"/>
    <w:qFormat/>
  </w:style>
  <w:style w:type="character" w:styleId="847">
    <w:name w:val="FollowedHyperlink"/>
    <w:uiPriority w:val="99"/>
    <w:unhideWhenUsed/>
    <w:qFormat/>
    <w:rPr>
      <w:color w:val="333333"/>
      <w:u w:val="none"/>
    </w:rPr>
  </w:style>
  <w:style w:type="character" w:styleId="848">
    <w:name w:val="Emphasis"/>
    <w:uiPriority w:val="0"/>
    <w:qFormat/>
    <w:rPr>
      <w:rFonts w:ascii="Times New Roman" w:hAnsi="Times New Roman"/>
      <w:i/>
      <w:iCs/>
      <w:sz w:val="21"/>
      <w:szCs w:val="20"/>
    </w:rPr>
  </w:style>
  <w:style w:type="character" w:styleId="849">
    <w:name w:val="HTML Definition"/>
    <w:uiPriority w:val="99"/>
    <w:unhideWhenUsed/>
    <w:qFormat/>
    <w:rPr>
      <w:i/>
    </w:rPr>
  </w:style>
  <w:style w:type="character" w:styleId="850">
    <w:name w:val="Hyperlink"/>
    <w:uiPriority w:val="99"/>
    <w:unhideWhenUsed/>
    <w:qFormat/>
    <w:rPr>
      <w:color w:val="333333"/>
      <w:u w:val="none"/>
    </w:rPr>
  </w:style>
  <w:style w:type="character" w:styleId="851">
    <w:name w:val="HTML Code"/>
    <w:uiPriority w:val="99"/>
    <w:unhideWhenUsed/>
    <w:qFormat/>
    <w:rPr>
      <w:rFonts w:ascii="Consolas" w:hAnsi="Consolas" w:eastAsia="Consolas" w:cs="Consolas"/>
      <w:color w:val="c7254e"/>
      <w:sz w:val="21"/>
      <w:szCs w:val="21"/>
      <w:shd w:val="clear" w:color="auto" w:fill="f9f2f4"/>
    </w:rPr>
  </w:style>
  <w:style w:type="character" w:styleId="852">
    <w:name w:val="annotation reference"/>
    <w:uiPriority w:val="99"/>
    <w:unhideWhenUsed/>
    <w:qFormat/>
    <w:rPr>
      <w:sz w:val="21"/>
      <w:szCs w:val="21"/>
    </w:rPr>
  </w:style>
  <w:style w:type="character" w:styleId="853">
    <w:name w:val="footnote reference"/>
    <w:basedOn w:val="806"/>
    <w:uiPriority w:val="99"/>
    <w:unhideWhenUsed/>
    <w:qFormat/>
    <w:rPr>
      <w:vertAlign w:val="superscript"/>
    </w:rPr>
  </w:style>
  <w:style w:type="character" w:styleId="854">
    <w:name w:val="HTML Keyboard"/>
    <w:uiPriority w:val="99"/>
    <w:unhideWhenUsed/>
    <w:qFormat/>
    <w:rPr>
      <w:rFonts w:hint="default" w:ascii="Consolas" w:hAnsi="Consolas" w:eastAsia="Consolas" w:cs="Consolas"/>
      <w:color w:val="ffffff"/>
      <w:sz w:val="21"/>
      <w:szCs w:val="21"/>
      <w:shd w:val="clear" w:color="auto" w:fill="333333"/>
    </w:rPr>
  </w:style>
  <w:style w:type="character" w:styleId="855">
    <w:name w:val="HTML Sample"/>
    <w:uiPriority w:val="99"/>
    <w:unhideWhenUsed/>
    <w:qFormat/>
    <w:rPr>
      <w:rFonts w:hint="default" w:ascii="Consolas" w:hAnsi="Consolas" w:eastAsia="Consolas" w:cs="Consolas"/>
      <w:sz w:val="21"/>
      <w:szCs w:val="21"/>
    </w:rPr>
  </w:style>
  <w:style w:type="paragraph" w:styleId="856" w:customStyle="1">
    <w:name w:val="标题 31"/>
    <w:basedOn w:val="857"/>
    <w:next w:val="796"/>
    <w:uiPriority w:val="0"/>
    <w:qFormat/>
    <w:pPr>
      <w:keepLines/>
      <w:keepNext/>
      <w:spacing w:before="260" w:after="260" w:line="416" w:lineRule="auto"/>
      <w:outlineLvl w:val="2"/>
    </w:pPr>
    <w:rPr>
      <w:rFonts w:ascii="Calibri" w:hAnsi="Calibri"/>
      <w:b/>
      <w:bCs/>
      <w:sz w:val="32"/>
      <w:szCs w:val="32"/>
    </w:rPr>
  </w:style>
  <w:style w:type="paragraph" w:styleId="857" w:customStyle="1">
    <w:name w:val="正文2"/>
    <w:uiPriority w:val="0"/>
    <w:qFormat/>
    <w:rPr>
      <w:rFonts w:hint="default" w:ascii="Times New Roman" w:hAnsi="Times New Roman" w:eastAsia="宋体" w:cs="Times New Roman"/>
      <w:sz w:val="24"/>
      <w:szCs w:val="24"/>
      <w:lang w:val="en-US" w:eastAsia="zh-CN" w:bidi="ar-SA"/>
    </w:rPr>
  </w:style>
  <w:style w:type="paragraph" w:styleId="858" w:customStyle="1">
    <w:name w:val="正文1"/>
    <w:basedOn w:val="859"/>
    <w:next w:val="860"/>
    <w:link w:val="1042"/>
    <w:uiPriority w:val="99"/>
    <w:qFormat/>
    <w:pPr>
      <w:ind w:firstLine="480"/>
      <w:spacing w:line="440" w:lineRule="exact"/>
    </w:pPr>
    <w:rPr>
      <w:rFonts w:ascii="微软雅黑" w:hAnsi="微软雅黑" w:eastAsia="微软雅黑"/>
      <w:sz w:val="24"/>
      <w:szCs w:val="20"/>
    </w:rPr>
  </w:style>
  <w:style w:type="paragraph" w:styleId="859" w:customStyle="1">
    <w:name w:val="正文11"/>
    <w:next w:val="85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0" w:customStyle="1">
    <w:name w:val="正文文本1"/>
    <w:basedOn w:val="858"/>
    <w:next w:val="861"/>
    <w:uiPriority w:val="0"/>
    <w:qFormat/>
    <w:pPr>
      <w:spacing w:after="120"/>
    </w:pPr>
    <w:rPr>
      <w:lang w:eastAsia="en-US"/>
    </w:rPr>
  </w:style>
  <w:style w:type="paragraph" w:styleId="861" w:customStyle="1">
    <w:name w:val="一级条标题"/>
    <w:basedOn w:val="862"/>
    <w:next w:val="8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2" w:customStyle="1">
    <w:name w:val="章标题"/>
    <w:next w:val="8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3" w:customStyle="1">
    <w:name w:val="段"/>
    <w:next w:val="796"/>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character" w:styleId="864" w:customStyle="1">
    <w:name w:val="Heading 1 Char"/>
    <w:basedOn w:val="806"/>
    <w:uiPriority w:val="9"/>
    <w:qFormat/>
    <w:rPr>
      <w:rFonts w:ascii="Arial" w:hAnsi="Arial" w:eastAsia="Arial" w:cs="Arial"/>
      <w:sz w:val="40"/>
      <w:szCs w:val="40"/>
    </w:rPr>
  </w:style>
  <w:style w:type="character" w:styleId="865" w:customStyle="1">
    <w:name w:val="Heading 2 Char"/>
    <w:basedOn w:val="806"/>
    <w:uiPriority w:val="9"/>
    <w:qFormat/>
    <w:rPr>
      <w:rFonts w:ascii="Arial" w:hAnsi="Arial" w:eastAsia="Arial" w:cs="Arial"/>
      <w:sz w:val="34"/>
    </w:rPr>
  </w:style>
  <w:style w:type="character" w:styleId="866" w:customStyle="1">
    <w:name w:val="Heading 3 Char"/>
    <w:basedOn w:val="806"/>
    <w:uiPriority w:val="9"/>
    <w:qFormat/>
    <w:rPr>
      <w:rFonts w:ascii="Arial" w:hAnsi="Arial" w:eastAsia="Arial" w:cs="Arial"/>
      <w:sz w:val="30"/>
      <w:szCs w:val="30"/>
    </w:rPr>
  </w:style>
  <w:style w:type="character" w:styleId="867" w:customStyle="1">
    <w:name w:val="Heading 4 Char"/>
    <w:basedOn w:val="806"/>
    <w:uiPriority w:val="9"/>
    <w:qFormat/>
    <w:rPr>
      <w:rFonts w:ascii="Arial" w:hAnsi="Arial" w:eastAsia="Arial" w:cs="Arial"/>
      <w:b/>
      <w:bCs/>
      <w:sz w:val="26"/>
      <w:szCs w:val="26"/>
    </w:rPr>
  </w:style>
  <w:style w:type="character" w:styleId="868" w:customStyle="1">
    <w:name w:val="Heading 5 Char"/>
    <w:basedOn w:val="806"/>
    <w:uiPriority w:val="9"/>
    <w:qFormat/>
    <w:rPr>
      <w:rFonts w:ascii="Arial" w:hAnsi="Arial" w:eastAsia="Arial" w:cs="Arial"/>
      <w:b/>
      <w:bCs/>
      <w:sz w:val="24"/>
      <w:szCs w:val="24"/>
    </w:rPr>
  </w:style>
  <w:style w:type="character" w:styleId="869" w:customStyle="1">
    <w:name w:val="Heading 6 Char"/>
    <w:basedOn w:val="806"/>
    <w:uiPriority w:val="9"/>
    <w:qFormat/>
    <w:rPr>
      <w:rFonts w:ascii="Arial" w:hAnsi="Arial" w:eastAsia="Arial" w:cs="Arial"/>
      <w:b/>
      <w:bCs/>
      <w:sz w:val="22"/>
      <w:szCs w:val="22"/>
    </w:rPr>
  </w:style>
  <w:style w:type="character" w:styleId="870" w:customStyle="1">
    <w:name w:val="Heading 8 Char"/>
    <w:basedOn w:val="806"/>
    <w:uiPriority w:val="9"/>
    <w:qFormat/>
    <w:rPr>
      <w:rFonts w:ascii="Arial" w:hAnsi="Arial" w:eastAsia="Arial" w:cs="Arial"/>
      <w:i/>
      <w:iCs/>
      <w:sz w:val="22"/>
      <w:szCs w:val="22"/>
    </w:rPr>
  </w:style>
  <w:style w:type="character" w:styleId="871" w:customStyle="1">
    <w:name w:val="Heading 9 Char"/>
    <w:basedOn w:val="806"/>
    <w:uiPriority w:val="9"/>
    <w:qFormat/>
    <w:rPr>
      <w:rFonts w:ascii="Arial" w:hAnsi="Arial" w:eastAsia="Arial" w:cs="Arial"/>
      <w:i/>
      <w:iCs/>
      <w:sz w:val="21"/>
      <w:szCs w:val="21"/>
    </w:rPr>
  </w:style>
  <w:style w:type="character" w:styleId="872" w:customStyle="1">
    <w:name w:val="Title Char"/>
    <w:basedOn w:val="806"/>
    <w:link w:val="839"/>
    <w:uiPriority w:val="10"/>
    <w:qFormat/>
    <w:rPr>
      <w:sz w:val="48"/>
      <w:szCs w:val="48"/>
    </w:rPr>
  </w:style>
  <w:style w:type="character" w:styleId="873" w:customStyle="1">
    <w:name w:val="Subtitle Char"/>
    <w:basedOn w:val="806"/>
    <w:link w:val="830"/>
    <w:uiPriority w:val="11"/>
    <w:qFormat/>
    <w:rPr>
      <w:sz w:val="24"/>
      <w:szCs w:val="24"/>
    </w:rPr>
  </w:style>
  <w:style w:type="paragraph" w:styleId="874">
    <w:name w:val="Quote"/>
    <w:basedOn w:val="796"/>
    <w:next w:val="796"/>
    <w:link w:val="875"/>
    <w:uiPriority w:val="29"/>
    <w:qFormat/>
    <w:pPr>
      <w:ind w:left="720" w:right="720"/>
    </w:pPr>
    <w:rPr>
      <w:i/>
    </w:rPr>
  </w:style>
  <w:style w:type="character" w:styleId="875" w:customStyle="1">
    <w:name w:val="Quote Char"/>
    <w:link w:val="874"/>
    <w:uiPriority w:val="29"/>
    <w:qFormat/>
    <w:rPr>
      <w:i/>
    </w:rPr>
  </w:style>
  <w:style w:type="paragraph" w:styleId="876">
    <w:name w:val="Intense Quote"/>
    <w:basedOn w:val="796"/>
    <w:next w:val="796"/>
    <w:link w:val="8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Intense Quote Char"/>
    <w:link w:val="876"/>
    <w:uiPriority w:val="30"/>
    <w:qFormat/>
    <w:rPr>
      <w:i/>
    </w:rPr>
  </w:style>
  <w:style w:type="character" w:styleId="878" w:customStyle="1">
    <w:name w:val="Header Char"/>
    <w:basedOn w:val="806"/>
    <w:uiPriority w:val="99"/>
    <w:qFormat/>
  </w:style>
  <w:style w:type="character" w:styleId="879" w:customStyle="1">
    <w:name w:val="Footer Char"/>
    <w:basedOn w:val="806"/>
    <w:uiPriority w:val="99"/>
    <w:qFormat/>
  </w:style>
  <w:style w:type="character" w:styleId="880" w:customStyle="1">
    <w:name w:val="Caption Char"/>
    <w:uiPriority w:val="99"/>
    <w:qFormat/>
  </w:style>
  <w:style w:type="table" w:styleId="881" w:customStyle="1">
    <w:name w:val="Table Grid Light"/>
    <w:basedOn w:val="8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2" w:customStyle="1">
    <w:name w:val="Plain Table 1"/>
    <w:basedOn w:val="8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2"/>
    <w:basedOn w:val="8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3"/>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Plain Table 4"/>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Plain Table 5"/>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Grid Table 1 Light"/>
    <w:basedOn w:val="8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1"/>
    <w:basedOn w:val="80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2"/>
    <w:basedOn w:val="80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3"/>
    <w:basedOn w:val="80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4"/>
    <w:basedOn w:val="8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5"/>
    <w:basedOn w:val="80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6"/>
    <w:basedOn w:val="80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4" w:customStyle="1">
    <w:name w:val="Grid Table 2"/>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Grid Table 2 - Accent 1"/>
    <w:basedOn w:val="80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6" w:customStyle="1">
    <w:name w:val="Grid Table 2 - Accent 2"/>
    <w:basedOn w:val="80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2 - Accent 3"/>
    <w:basedOn w:val="80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2 - Accent 4"/>
    <w:basedOn w:val="80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2 - Accent 5"/>
    <w:basedOn w:val="80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Grid Table 2 - Accent 6"/>
    <w:basedOn w:val="80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Grid Table 3"/>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1"/>
    <w:basedOn w:val="80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basedOn w:val="80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basedOn w:val="80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basedOn w:val="80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basedOn w:val="80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basedOn w:val="80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w:basedOn w:val="8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4 - Accent 1"/>
    <w:basedOn w:val="80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0" w:customStyle="1">
    <w:name w:val="Grid Table 4 - Accent 2"/>
    <w:basedOn w:val="80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1" w:customStyle="1">
    <w:name w:val="Grid Table 4 - Accent 3"/>
    <w:basedOn w:val="80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2" w:customStyle="1">
    <w:name w:val="Grid Table 4 - Accent 4"/>
    <w:basedOn w:val="80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3" w:customStyle="1">
    <w:name w:val="Grid Table 4 - Accent 5"/>
    <w:basedOn w:val="80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4" w:customStyle="1">
    <w:name w:val="Grid Table 4 - Accent 6"/>
    <w:basedOn w:val="80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5" w:customStyle="1">
    <w:name w:val="Grid Table 5 Dark"/>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5 Dark- Accent 1"/>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7" w:customStyle="1">
    <w:name w:val="Grid Table 5 Dark - Accent 2"/>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8" w:customStyle="1">
    <w:name w:val="Grid Table 5 Dark - Accent 3"/>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9" w:customStyle="1">
    <w:name w:val="Grid Table 5 Dark- Accent 4"/>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0" w:customStyle="1">
    <w:name w:val="Grid Table 5 Dark - Accent 5"/>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1" w:customStyle="1">
    <w:name w:val="Grid Table 5 Dark - Accent 6"/>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2" w:customStyle="1">
    <w:name w:val="Grid Table 6 Colorful"/>
    <w:basedOn w:val="8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3" w:customStyle="1">
    <w:name w:val="Grid Table 6 Colorful - Accent 1"/>
    <w:basedOn w:val="80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4" w:customStyle="1">
    <w:name w:val="Grid Table 6 Colorful - Accent 2"/>
    <w:basedOn w:val="80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5" w:customStyle="1">
    <w:name w:val="Grid Table 6 Colorful - Accent 3"/>
    <w:basedOn w:val="80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6" w:customStyle="1">
    <w:name w:val="Grid Table 6 Colorful - Accent 4"/>
    <w:basedOn w:val="8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7" w:customStyle="1">
    <w:name w:val="Grid Table 6 Colorful - Accent 5"/>
    <w:basedOn w:val="80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8" w:customStyle="1">
    <w:name w:val="Grid Table 6 Colorful - Accent 6"/>
    <w:basedOn w:val="80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Grid Table 7 Colorful"/>
    <w:basedOn w:val="8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Grid Table 7 Colorful - Accent 1"/>
    <w:basedOn w:val="80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1" w:customStyle="1">
    <w:name w:val="Grid Table 7 Colorful - Accent 2"/>
    <w:basedOn w:val="80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7 Colorful - Accent 3"/>
    <w:basedOn w:val="80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7 Colorful - Accent 4"/>
    <w:basedOn w:val="80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7 Colorful - Accent 5"/>
    <w:basedOn w:val="80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5" w:customStyle="1">
    <w:name w:val="Grid Table 7 Colorful - Accent 6"/>
    <w:basedOn w:val="80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6" w:customStyle="1">
    <w:name w:val="List Table 1 Light"/>
    <w:basedOn w:val="8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customStyle="1">
    <w:name w:val="List Table 1 Light - Accent 1"/>
    <w:basedOn w:val="80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1 Light - Accent 2"/>
    <w:basedOn w:val="80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9" w:customStyle="1">
    <w:name w:val="List Table 1 Light - Accent 3"/>
    <w:basedOn w:val="80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0" w:customStyle="1">
    <w:name w:val="List Table 1 Light - Accent 4"/>
    <w:basedOn w:val="80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1" w:customStyle="1">
    <w:name w:val="List Table 1 Light - Accent 5"/>
    <w:basedOn w:val="80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List Table 1 Light - Accent 6"/>
    <w:basedOn w:val="80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List Table 2"/>
    <w:basedOn w:val="8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4" w:customStyle="1">
    <w:name w:val="List Table 2 - Accent 1"/>
    <w:basedOn w:val="80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5" w:customStyle="1">
    <w:name w:val="List Table 2 - Accent 2"/>
    <w:basedOn w:val="80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6" w:customStyle="1">
    <w:name w:val="List Table 2 - Accent 3"/>
    <w:basedOn w:val="80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7" w:customStyle="1">
    <w:name w:val="List Table 2 - Accent 4"/>
    <w:basedOn w:val="80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8" w:customStyle="1">
    <w:name w:val="List Table 2 - Accent 5"/>
    <w:basedOn w:val="80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9" w:customStyle="1">
    <w:name w:val="List Table 2 - Accent 6"/>
    <w:basedOn w:val="80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0" w:customStyle="1">
    <w:name w:val="List Table 3"/>
    <w:basedOn w:val="8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3 - Accent 1"/>
    <w:basedOn w:val="80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3 - Accent 2"/>
    <w:basedOn w:val="80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3" w:customStyle="1">
    <w:name w:val="List Table 3 - Accent 3"/>
    <w:basedOn w:val="80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4" w:customStyle="1">
    <w:name w:val="List Table 3 - Accent 4"/>
    <w:basedOn w:val="8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5" w:customStyle="1">
    <w:name w:val="List Table 3 - Accent 5"/>
    <w:basedOn w:val="80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6" w:customStyle="1">
    <w:name w:val="List Table 3 - Accent 6"/>
    <w:basedOn w:val="80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7" w:customStyle="1">
    <w:name w:val="List Table 4"/>
    <w:basedOn w:val="8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4 - Accent 1"/>
    <w:basedOn w:val="80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4 - Accent 2"/>
    <w:basedOn w:val="80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0" w:customStyle="1">
    <w:name w:val="List Table 4 - Accent 3"/>
    <w:basedOn w:val="80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1" w:customStyle="1">
    <w:name w:val="List Table 4 - Accent 4"/>
    <w:basedOn w:val="80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2" w:customStyle="1">
    <w:name w:val="List Table 4 - Accent 5"/>
    <w:basedOn w:val="80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3" w:customStyle="1">
    <w:name w:val="List Table 4 - Accent 6"/>
    <w:basedOn w:val="80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4" w:customStyle="1">
    <w:name w:val="List Table 5 Dark"/>
    <w:basedOn w:val="8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1"/>
    <w:basedOn w:val="80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2"/>
    <w:basedOn w:val="80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3"/>
    <w:basedOn w:val="80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4"/>
    <w:basedOn w:val="80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5"/>
    <w:basedOn w:val="80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6"/>
    <w:basedOn w:val="80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6 Colorful"/>
    <w:basedOn w:val="8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2" w:customStyle="1">
    <w:name w:val="List Table 6 Colorful - Accent 1"/>
    <w:basedOn w:val="80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3" w:customStyle="1">
    <w:name w:val="List Table 6 Colorful - Accent 2"/>
    <w:basedOn w:val="80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4" w:customStyle="1">
    <w:name w:val="List Table 6 Colorful - Accent 3"/>
    <w:basedOn w:val="80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5" w:customStyle="1">
    <w:name w:val="List Table 6 Colorful - Accent 4"/>
    <w:basedOn w:val="80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6" w:customStyle="1">
    <w:name w:val="List Table 6 Colorful - Accent 5"/>
    <w:basedOn w:val="80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7" w:customStyle="1">
    <w:name w:val="List Table 6 Colorful - Accent 6"/>
    <w:basedOn w:val="80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8" w:customStyle="1">
    <w:name w:val="List Table 7 Colorful"/>
    <w:basedOn w:val="8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List Table 7 Colorful - Accent 1"/>
    <w:basedOn w:val="80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7 Colorful - Accent 2"/>
    <w:basedOn w:val="80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List Table 7 Colorful - Accent 3"/>
    <w:basedOn w:val="80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2" w:customStyle="1">
    <w:name w:val="List Table 7 Colorful - Accent 4"/>
    <w:basedOn w:val="80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List Table 7 Colorful - Accent 5"/>
    <w:basedOn w:val="80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4" w:customStyle="1">
    <w:name w:val="List Table 7 Colorful - Accent 6"/>
    <w:basedOn w:val="80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5" w:customStyle="1">
    <w:name w:val="Lined - Accent"/>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Lined - Accent 1"/>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7" w:customStyle="1">
    <w:name w:val="Lined - Accent 2"/>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8" w:customStyle="1">
    <w:name w:val="Lined - Accent 3"/>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9" w:customStyle="1">
    <w:name w:val="Lined - Accent 4"/>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Lined - Accent 5"/>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Lined - Accent 6"/>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amp; Lined - Accent"/>
    <w:basedOn w:val="8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Bordered &amp; Lined - Accent 1"/>
    <w:basedOn w:val="80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Bordered &amp; Lined - Accent 2"/>
    <w:basedOn w:val="80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Bordered &amp; Lined - Accent 3"/>
    <w:basedOn w:val="80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Bordered &amp; Lined - Accent 4"/>
    <w:basedOn w:val="80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Bordered &amp; Lined - Accent 5"/>
    <w:basedOn w:val="80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Bordered &amp; Lined - Accent 6"/>
    <w:basedOn w:val="80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w:basedOn w:val="80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0" w:customStyle="1">
    <w:name w:val="Bordered - Accent 1"/>
    <w:basedOn w:val="80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1" w:customStyle="1">
    <w:name w:val="Bordered - Accent 2"/>
    <w:basedOn w:val="80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2" w:customStyle="1">
    <w:name w:val="Bordered - Accent 3"/>
    <w:basedOn w:val="80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3" w:customStyle="1">
    <w:name w:val="Bordered - Accent 4"/>
    <w:basedOn w:val="8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4" w:customStyle="1">
    <w:name w:val="Bordered - Accent 5"/>
    <w:basedOn w:val="80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5" w:customStyle="1">
    <w:name w:val="Bordered - Accent 6"/>
    <w:basedOn w:val="80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6" w:customStyle="1">
    <w:name w:val="Footnote Text Char"/>
    <w:link w:val="832"/>
    <w:uiPriority w:val="99"/>
    <w:qFormat/>
    <w:rPr>
      <w:sz w:val="18"/>
    </w:rPr>
  </w:style>
  <w:style w:type="character" w:styleId="1007" w:customStyle="1">
    <w:name w:val="Endnote Text Char"/>
    <w:link w:val="823"/>
    <w:uiPriority w:val="99"/>
    <w:qFormat/>
    <w:rPr>
      <w:sz w:val="20"/>
    </w:rPr>
  </w:style>
  <w:style w:type="paragraph" w:styleId="1008" w:customStyle="1">
    <w:name w:val="TOC Heading"/>
    <w:uiPriority w:val="39"/>
    <w:unhideWhenUsed/>
    <w:qFormat/>
    <w:rPr>
      <w:rFonts w:hint="default" w:asciiTheme="minorHAnsi" w:hAnsiTheme="minorHAnsi" w:eastAsiaTheme="minorEastAsia" w:cstheme="minorBidi"/>
    </w:rPr>
  </w:style>
  <w:style w:type="paragraph" w:styleId="1009" w:customStyle="1">
    <w:name w:val="正文（缩进）"/>
    <w:basedOn w:val="796"/>
    <w:next w:val="1010"/>
    <w:uiPriority w:val="0"/>
    <w:qFormat/>
    <w:pPr>
      <w:ind w:firstLine="480"/>
    </w:pPr>
  </w:style>
  <w:style w:type="paragraph" w:styleId="1010" w:customStyle="1">
    <w:name w:val="Char Char Char Char Char Char Char Char Char"/>
    <w:basedOn w:val="796"/>
    <w:next w:val="1011"/>
    <w:uiPriority w:val="99"/>
    <w:qFormat/>
    <w:pPr>
      <w:ind w:left="360" w:firstLine="5784"/>
    </w:pPr>
  </w:style>
  <w:style w:type="paragraph" w:styleId="1011" w:customStyle="1">
    <w:name w:val="正文文本 21"/>
    <w:basedOn w:val="796"/>
    <w:next w:val="1012"/>
    <w:uiPriority w:val="99"/>
    <w:qFormat/>
    <w:pPr>
      <w:ind w:left="720" w:firstLine="5680"/>
      <w:widowControl/>
    </w:pPr>
  </w:style>
  <w:style w:type="paragraph" w:styleId="1012" w:customStyle="1">
    <w:name w:val="默认段落字体 Para Char Char Char Char Char Char Char"/>
    <w:basedOn w:val="796"/>
    <w:next w:val="1013"/>
    <w:uiPriority w:val="99"/>
    <w:qFormat/>
    <w:pPr>
      <w:ind w:firstLine="200"/>
    </w:pPr>
    <w:rPr>
      <w:rFonts w:cs="Arial"/>
    </w:rPr>
  </w:style>
  <w:style w:type="paragraph" w:styleId="1013" w:customStyle="1">
    <w:name w:val="样式 首行缩进:  2 字符"/>
    <w:basedOn w:val="796"/>
    <w:next w:val="1014"/>
    <w:uiPriority w:val="99"/>
    <w:qFormat/>
    <w:pPr>
      <w:ind w:left="480" w:firstLine="5856"/>
      <w:spacing w:line="360" w:lineRule="auto"/>
    </w:pPr>
  </w:style>
  <w:style w:type="paragraph" w:styleId="1014" w:customStyle="1">
    <w:name w:val="样式 段后: 0.25 行"/>
    <w:basedOn w:val="796"/>
    <w:next w:val="1015"/>
    <w:uiPriority w:val="99"/>
    <w:qFormat/>
    <w:pPr>
      <w:ind w:left="420" w:firstLine="5796"/>
      <w:spacing w:line="300" w:lineRule="auto"/>
      <w:widowControl/>
    </w:pPr>
  </w:style>
  <w:style w:type="paragraph" w:styleId="1015" w:customStyle="1">
    <w:name w:val="正文 New New New New New New New New New New New New New New"/>
    <w:next w:val="836"/>
    <w:uiPriority w:val="99"/>
    <w:qFormat/>
    <w:pPr>
      <w:ind w:firstLine="2048"/>
      <w:jc w:val="both"/>
      <w:widowControl w:val="off"/>
    </w:pPr>
    <w:rPr>
      <w:rFonts w:hint="default" w:ascii="Calibri" w:hAnsi="Calibri" w:eastAsia="宋体" w:cs="Times New Roman"/>
      <w:lang w:val="en-US" w:eastAsia="zh-CN" w:bidi="ar-SA"/>
    </w:rPr>
  </w:style>
  <w:style w:type="paragraph" w:styleId="1016" w:customStyle="1">
    <w:name w:val="style4"/>
    <w:basedOn w:val="796"/>
    <w:next w:val="1017"/>
    <w:uiPriority w:val="0"/>
    <w:qFormat/>
    <w:pPr>
      <w:jc w:val="left"/>
      <w:spacing w:before="100" w:beforeAutospacing="1" w:after="100" w:afterAutospacing="1"/>
      <w:widowControl/>
    </w:pPr>
    <w:rPr>
      <w:rFonts w:ascii="宋体" w:hAnsi="宋体" w:cs="宋体"/>
      <w:sz w:val="18"/>
      <w:szCs w:val="18"/>
    </w:rPr>
  </w:style>
  <w:style w:type="paragraph" w:styleId="1017" w:customStyle="1">
    <w:name w:val="2"/>
    <w:next w:val="796"/>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18" w:customStyle="1">
    <w:name w:val="标题 1 Char"/>
    <w:link w:val="797"/>
    <w:uiPriority w:val="9"/>
    <w:qFormat/>
    <w:rPr>
      <w:b/>
      <w:bCs/>
      <w:sz w:val="44"/>
      <w:szCs w:val="44"/>
    </w:rPr>
  </w:style>
  <w:style w:type="character" w:styleId="1019" w:customStyle="1">
    <w:name w:val="标题 2 Char"/>
    <w:link w:val="798"/>
    <w:uiPriority w:val="9"/>
    <w:qFormat/>
    <w:rPr>
      <w:rFonts w:ascii="Arial" w:hAnsi="Arial" w:eastAsia="宋体" w:cs="Times New Roman"/>
      <w:b/>
      <w:bCs/>
      <w:sz w:val="28"/>
      <w:szCs w:val="36"/>
    </w:rPr>
  </w:style>
  <w:style w:type="character" w:styleId="1020" w:customStyle="1">
    <w:name w:val="正文缩进 Char"/>
    <w:link w:val="808"/>
    <w:uiPriority w:val="0"/>
    <w:qFormat/>
  </w:style>
  <w:style w:type="character" w:styleId="1021" w:customStyle="1">
    <w:name w:val="标题 3 Char"/>
    <w:link w:val="799"/>
    <w:uiPriority w:val="0"/>
    <w:qFormat/>
    <w:rPr>
      <w:rFonts w:ascii="Arial" w:hAnsi="Arial" w:eastAsia="黑体" w:cs="Times New Roman"/>
      <w:b/>
      <w:bCs/>
      <w:sz w:val="30"/>
      <w:szCs w:val="32"/>
    </w:rPr>
  </w:style>
  <w:style w:type="character" w:styleId="1022" w:customStyle="1">
    <w:name w:val="标题 4 Char"/>
    <w:link w:val="800"/>
    <w:uiPriority w:val="0"/>
    <w:qFormat/>
    <w:rPr>
      <w:rFonts w:ascii="Arial" w:hAnsi="Arial" w:eastAsia="黑体" w:cs="Arial"/>
      <w:b/>
      <w:bCs/>
      <w:sz w:val="28"/>
      <w:szCs w:val="28"/>
    </w:rPr>
  </w:style>
  <w:style w:type="character" w:styleId="1023" w:customStyle="1">
    <w:name w:val="标题 5 Char"/>
    <w:link w:val="801"/>
    <w:uiPriority w:val="0"/>
    <w:qFormat/>
    <w:rPr>
      <w:rFonts w:ascii="Calibri" w:hAnsi="Calibri" w:eastAsia="宋体" w:cs="Times New Roman"/>
      <w:b/>
      <w:bCs/>
      <w:sz w:val="28"/>
      <w:szCs w:val="28"/>
    </w:rPr>
  </w:style>
  <w:style w:type="character" w:styleId="1024" w:customStyle="1">
    <w:name w:val="标题 6 Char"/>
    <w:link w:val="802"/>
    <w:uiPriority w:val="0"/>
    <w:qFormat/>
    <w:rPr>
      <w:rFonts w:ascii="Cambria" w:hAnsi="Cambria" w:eastAsia="宋体" w:cs="Times New Roman"/>
      <w:b/>
      <w:bCs/>
      <w:sz w:val="24"/>
      <w:szCs w:val="24"/>
    </w:rPr>
  </w:style>
  <w:style w:type="character" w:styleId="1025" w:customStyle="1">
    <w:name w:val="标题 7 Char"/>
    <w:link w:val="803"/>
    <w:uiPriority w:val="0"/>
    <w:qFormat/>
    <w:rPr>
      <w:rFonts w:ascii="Times New Roman" w:hAnsi="Times New Roman" w:eastAsia="宋体" w:cs="Times New Roman"/>
      <w:b/>
      <w:bCs/>
      <w:sz w:val="24"/>
      <w:szCs w:val="24"/>
    </w:rPr>
  </w:style>
  <w:style w:type="character" w:styleId="1026" w:customStyle="1">
    <w:name w:val="标题 8 Char"/>
    <w:link w:val="804"/>
    <w:uiPriority w:val="0"/>
    <w:qFormat/>
    <w:rPr>
      <w:rFonts w:ascii="Cambria" w:hAnsi="Cambria" w:eastAsia="宋体" w:cs="Times New Roman"/>
      <w:sz w:val="24"/>
      <w:szCs w:val="24"/>
    </w:rPr>
  </w:style>
  <w:style w:type="character" w:styleId="1027" w:customStyle="1">
    <w:name w:val="标题 9 Char"/>
    <w:link w:val="805"/>
    <w:uiPriority w:val="0"/>
    <w:qFormat/>
    <w:rPr>
      <w:rFonts w:ascii="Cambria" w:hAnsi="Cambria" w:eastAsia="宋体" w:cs="Times New Roman"/>
      <w:sz w:val="20"/>
      <w:szCs w:val="21"/>
    </w:rPr>
  </w:style>
  <w:style w:type="character" w:styleId="1028" w:customStyle="1">
    <w:name w:val="文档结构图 Char"/>
    <w:link w:val="811"/>
    <w:uiPriority w:val="0"/>
    <w:qFormat/>
    <w:rPr>
      <w:rFonts w:ascii="宋体" w:hAnsi="Times New Roman"/>
      <w:sz w:val="18"/>
      <w:szCs w:val="18"/>
    </w:rPr>
  </w:style>
  <w:style w:type="character" w:styleId="1029" w:customStyle="1">
    <w:name w:val="批注文字 Char1"/>
    <w:link w:val="812"/>
    <w:uiPriority w:val="99"/>
    <w:qFormat/>
    <w:rPr>
      <w:rFonts w:ascii="Times New Roman" w:hAnsi="Times New Roman" w:eastAsia="宋体" w:cs="Times New Roman"/>
      <w:szCs w:val="24"/>
    </w:rPr>
  </w:style>
  <w:style w:type="character" w:styleId="1030" w:customStyle="1">
    <w:name w:val="正文文本 3 Char"/>
    <w:link w:val="813"/>
    <w:uiPriority w:val="0"/>
    <w:qFormat/>
    <w:rPr>
      <w:rFonts w:ascii="宋体" w:hAnsi="Times New Roman"/>
      <w:sz w:val="24"/>
    </w:rPr>
  </w:style>
  <w:style w:type="character" w:styleId="1031" w:customStyle="1">
    <w:name w:val="正文文本 Char"/>
    <w:link w:val="814"/>
    <w:uiPriority w:val="0"/>
    <w:qFormat/>
    <w:rPr>
      <w:rFonts w:ascii="楷体_GB2312" w:hAnsi="Arial" w:eastAsia="楷体_GB2312" w:cs="Times New Roman"/>
      <w:sz w:val="28"/>
      <w:szCs w:val="28"/>
    </w:rPr>
  </w:style>
  <w:style w:type="character" w:styleId="1032" w:customStyle="1">
    <w:name w:val="正文文本缩进 Char"/>
    <w:link w:val="815"/>
    <w:uiPriority w:val="99"/>
    <w:qFormat/>
    <w:rPr>
      <w:rFonts w:ascii="Times New Roman" w:hAnsi="Times New Roman"/>
      <w:szCs w:val="24"/>
    </w:rPr>
  </w:style>
  <w:style w:type="character" w:styleId="1033" w:customStyle="1">
    <w:name w:val="纯文本 Char"/>
    <w:link w:val="820"/>
    <w:uiPriority w:val="0"/>
    <w:qFormat/>
    <w:rPr>
      <w:rFonts w:ascii="宋体" w:hAnsi="Courier New" w:eastAsia="宋体" w:cs="Times New Roman"/>
      <w:szCs w:val="21"/>
    </w:rPr>
  </w:style>
  <w:style w:type="character" w:styleId="1034" w:customStyle="1">
    <w:name w:val="正文文本缩进 2 Char"/>
    <w:link w:val="822"/>
    <w:uiPriority w:val="0"/>
    <w:qFormat/>
    <w:rPr>
      <w:rFonts w:ascii="楷体_GB2312" w:hAnsi="Times New Roman" w:eastAsia="楷体_GB2312"/>
      <w:b/>
      <w:bCs/>
      <w:sz w:val="28"/>
      <w:szCs w:val="24"/>
    </w:rPr>
  </w:style>
  <w:style w:type="character" w:styleId="1035" w:customStyle="1">
    <w:name w:val="批注框文本 Char"/>
    <w:link w:val="824"/>
    <w:uiPriority w:val="99"/>
    <w:qFormat/>
    <w:rPr>
      <w:sz w:val="18"/>
      <w:szCs w:val="18"/>
    </w:rPr>
  </w:style>
  <w:style w:type="character" w:styleId="1036" w:customStyle="1">
    <w:name w:val="页脚 Char"/>
    <w:link w:val="825"/>
    <w:uiPriority w:val="99"/>
    <w:qFormat/>
    <w:rPr>
      <w:rFonts w:ascii="Times New Roman" w:hAnsi="Times New Roman" w:eastAsia="宋体" w:cs="Times New Roman"/>
      <w:sz w:val="18"/>
      <w:szCs w:val="18"/>
    </w:rPr>
  </w:style>
  <w:style w:type="character" w:styleId="1037" w:customStyle="1">
    <w:name w:val="页眉 Char"/>
    <w:link w:val="827"/>
    <w:uiPriority w:val="99"/>
    <w:qFormat/>
    <w:rPr>
      <w:rFonts w:ascii="Times New Roman" w:hAnsi="Times New Roman" w:eastAsia="宋体" w:cs="Times New Roman"/>
      <w:sz w:val="18"/>
      <w:szCs w:val="18"/>
    </w:rPr>
  </w:style>
  <w:style w:type="character" w:styleId="1038" w:customStyle="1">
    <w:name w:val="批注主题 Char"/>
    <w:link w:val="840"/>
    <w:uiPriority w:val="99"/>
    <w:qFormat/>
    <w:rPr>
      <w:b/>
      <w:bCs/>
    </w:rPr>
  </w:style>
  <w:style w:type="character" w:styleId="1039" w:customStyle="1">
    <w:name w:val="正文首行缩进 2 Char"/>
    <w:link w:val="842"/>
    <w:uiPriority w:val="99"/>
    <w:qFormat/>
    <w:rPr>
      <w:szCs w:val="24"/>
    </w:rPr>
  </w:style>
  <w:style w:type="paragraph" w:styleId="1040" w:customStyle="1">
    <w:name w:val="ListBullet21"/>
    <w:basedOn w:val="796"/>
    <w:uiPriority w:val="0"/>
    <w:qFormat/>
    <w:pPr>
      <w:numPr>
        <w:ilvl w:val="0"/>
        <w:numId w:val="3"/>
      </w:numPr>
    </w:pPr>
  </w:style>
  <w:style w:type="paragraph" w:styleId="1041" w:customStyle="1">
    <w:name w:val="ListBullet2"/>
    <w:basedOn w:val="796"/>
    <w:uiPriority w:val="0"/>
    <w:qFormat/>
    <w:pPr>
      <w:numPr>
        <w:ilvl w:val="0"/>
        <w:numId w:val="2"/>
      </w:numPr>
      <w:jc w:val="both"/>
    </w:pPr>
  </w:style>
  <w:style w:type="character" w:styleId="1042" w:customStyle="1">
    <w:name w:val="正文1 Char Char"/>
    <w:link w:val="858"/>
    <w:uiPriority w:val="99"/>
    <w:qFormat/>
    <w:rPr>
      <w:rFonts w:ascii="微软雅黑" w:hAnsi="微软雅黑" w:eastAsia="微软雅黑"/>
      <w:sz w:val="24"/>
    </w:rPr>
  </w:style>
  <w:style w:type="character" w:styleId="1043" w:customStyle="1">
    <w:name w:val="ca-161"/>
    <w:uiPriority w:val="0"/>
    <w:qFormat/>
    <w:rPr>
      <w:rFonts w:hint="eastAsia" w:ascii="宋体" w:hAnsi="宋体" w:eastAsia="宋体"/>
      <w:spacing w:val="0"/>
      <w:sz w:val="21"/>
      <w:szCs w:val="21"/>
    </w:rPr>
  </w:style>
  <w:style w:type="character" w:styleId="1044" w:customStyle="1">
    <w:name w:val="列出段落 Char"/>
    <w:link w:val="1045"/>
    <w:uiPriority w:val="0"/>
    <w:qFormat/>
    <w:rPr>
      <w:rFonts w:ascii="Calibri" w:hAnsi="Calibri" w:eastAsia="宋体" w:cs="Times New Roman"/>
    </w:rPr>
  </w:style>
  <w:style w:type="paragraph" w:styleId="1045" w:customStyle="1">
    <w:name w:val="列出段落1"/>
    <w:basedOn w:val="796"/>
    <w:link w:val="1044"/>
    <w:uiPriority w:val="0"/>
    <w:qFormat/>
    <w:pPr>
      <w:ind w:firstLine="200"/>
    </w:pPr>
    <w:rPr>
      <w:rFonts w:ascii="Calibri" w:hAnsi="Calibri"/>
      <w:sz w:val="20"/>
      <w:szCs w:val="20"/>
    </w:rPr>
  </w:style>
  <w:style w:type="character" w:styleId="1046" w:customStyle="1">
    <w:name w:val="表格文字 Char"/>
    <w:link w:val="1047"/>
    <w:uiPriority w:val="0"/>
    <w:qFormat/>
    <w:rPr>
      <w:szCs w:val="21"/>
    </w:rPr>
  </w:style>
  <w:style w:type="paragraph" w:styleId="1047" w:customStyle="1">
    <w:name w:val="表格文字"/>
    <w:basedOn w:val="796"/>
    <w:link w:val="1046"/>
    <w:uiPriority w:val="0"/>
    <w:qFormat/>
    <w:pPr>
      <w:jc w:val="left"/>
    </w:pPr>
    <w:rPr>
      <w:sz w:val="20"/>
      <w:szCs w:val="21"/>
    </w:rPr>
  </w:style>
  <w:style w:type="character" w:styleId="1048" w:customStyle="1">
    <w:name w:val="标题 5 字符"/>
    <w:uiPriority w:val="0"/>
    <w:semiHidden/>
    <w:qFormat/>
    <w:rPr>
      <w:rFonts w:ascii="Calibri" w:hAnsi="Calibri"/>
      <w:b/>
      <w:bCs/>
      <w:sz w:val="28"/>
      <w:szCs w:val="28"/>
    </w:rPr>
  </w:style>
  <w:style w:type="character" w:styleId="1049" w:customStyle="1">
    <w:name w:val="文档结构图 Char1"/>
    <w:uiPriority w:val="99"/>
    <w:semiHidden/>
    <w:qFormat/>
    <w:rPr>
      <w:rFonts w:ascii="宋体"/>
      <w:sz w:val="18"/>
      <w:szCs w:val="18"/>
    </w:rPr>
  </w:style>
  <w:style w:type="character" w:styleId="1050" w:customStyle="1">
    <w:name w:val="font201"/>
    <w:uiPriority w:val="0"/>
    <w:qFormat/>
    <w:rPr>
      <w:rFonts w:hint="default" w:ascii="Times New Roman" w:hAnsi="Times New Roman" w:cs="Times New Roman"/>
      <w:color w:val="000000"/>
      <w:sz w:val="20"/>
      <w:szCs w:val="20"/>
      <w:u w:val="none"/>
    </w:rPr>
  </w:style>
  <w:style w:type="character" w:styleId="1051" w:customStyle="1">
    <w:name w:val="_Style 86"/>
    <w:uiPriority w:val="19"/>
    <w:qFormat/>
    <w:rPr>
      <w:rFonts w:ascii="Times New Roman" w:hAnsi="Times New Roman"/>
      <w:i/>
      <w:iCs/>
      <w:color w:val="808080"/>
      <w:sz w:val="21"/>
      <w:szCs w:val="20"/>
    </w:rPr>
  </w:style>
  <w:style w:type="character" w:styleId="1052" w:customStyle="1">
    <w:name w:val="H2 Char"/>
    <w:uiPriority w:val="0"/>
    <w:qFormat/>
    <w:rPr>
      <w:rFonts w:ascii="Arial" w:hAnsi="Arial" w:eastAsia="黑体" w:cs="Times New Roman"/>
      <w:b/>
      <w:bCs/>
      <w:sz w:val="32"/>
      <w:szCs w:val="32"/>
    </w:rPr>
  </w:style>
  <w:style w:type="character" w:styleId="1053" w:customStyle="1">
    <w:name w:val="font41"/>
    <w:uiPriority w:val="0"/>
    <w:qFormat/>
    <w:rPr>
      <w:rFonts w:hint="eastAsia" w:ascii="宋体" w:hAnsi="宋体" w:eastAsia="宋体"/>
      <w:color w:val="000000"/>
      <w:sz w:val="32"/>
      <w:szCs w:val="32"/>
      <w:u w:val="none"/>
    </w:rPr>
  </w:style>
  <w:style w:type="character" w:styleId="1054" w:customStyle="1">
    <w:name w:val="font191"/>
    <w:uiPriority w:val="0"/>
    <w:qFormat/>
    <w:rPr>
      <w:rFonts w:ascii="Wingdings 2" w:hAnsi="Wingdings 2" w:eastAsia="Wingdings 2" w:cs="Wingdings 2"/>
      <w:color w:val="000000"/>
      <w:sz w:val="20"/>
      <w:szCs w:val="20"/>
      <w:u w:val="none"/>
    </w:rPr>
  </w:style>
  <w:style w:type="character" w:styleId="1055" w:customStyle="1">
    <w:name w:val="font231"/>
    <w:uiPriority w:val="0"/>
    <w:qFormat/>
    <w:rPr>
      <w:rFonts w:hint="eastAsia" w:ascii="宋体" w:hAnsi="宋体" w:eastAsia="宋体" w:cs="宋体"/>
      <w:color w:val="000000"/>
      <w:sz w:val="20"/>
      <w:szCs w:val="20"/>
      <w:u w:val="none"/>
    </w:rPr>
  </w:style>
  <w:style w:type="character" w:styleId="1056" w:customStyle="1">
    <w:name w:val="font241"/>
    <w:uiPriority w:val="0"/>
    <w:qFormat/>
    <w:rPr>
      <w:rFonts w:hint="eastAsia" w:ascii="宋体" w:hAnsi="宋体" w:eastAsia="宋体" w:cs="宋体"/>
      <w:color w:val="000000"/>
      <w:sz w:val="20"/>
      <w:szCs w:val="20"/>
      <w:u w:val="none"/>
    </w:rPr>
  </w:style>
  <w:style w:type="character" w:styleId="1057" w:customStyle="1">
    <w:name w:val=" Char Char9"/>
    <w:uiPriority w:val="0"/>
    <w:qFormat/>
    <w:rPr>
      <w:rFonts w:ascii="等线 Light" w:hAnsi="等线 Light" w:eastAsia="等线 Light" w:cs="Times New Roman"/>
      <w:b/>
      <w:bCs/>
      <w:sz w:val="28"/>
      <w:szCs w:val="28"/>
    </w:rPr>
  </w:style>
  <w:style w:type="character" w:styleId="1058" w:customStyle="1">
    <w:name w:val=" Char Char10"/>
    <w:uiPriority w:val="0"/>
    <w:qFormat/>
    <w:rPr>
      <w:rFonts w:ascii="Arial" w:hAnsi="Arial" w:eastAsia="黑体" w:cs="Times New Roman"/>
      <w:b/>
      <w:bCs/>
      <w:sz w:val="30"/>
      <w:szCs w:val="32"/>
    </w:rPr>
  </w:style>
  <w:style w:type="character" w:styleId="1059" w:customStyle="1">
    <w:name w:val="表格样式居左 Char"/>
    <w:link w:val="1060"/>
    <w:uiPriority w:val="0"/>
    <w:qFormat/>
    <w:rPr>
      <w:rFonts w:eastAsia="仿宋_GB2312"/>
      <w:bCs/>
      <w:color w:val="000000"/>
      <w:sz w:val="21"/>
      <w:szCs w:val="44"/>
      <w:lang w:val="en-US" w:eastAsia="zh-CN" w:bidi="ar-SA"/>
    </w:rPr>
  </w:style>
  <w:style w:type="paragraph" w:styleId="1060" w:customStyle="1">
    <w:name w:val="表格样式居左"/>
    <w:link w:val="1059"/>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1061" w:customStyle="1">
    <w:name w:val="font101"/>
    <w:uiPriority w:val="0"/>
    <w:qFormat/>
    <w:rPr>
      <w:rFonts w:hint="eastAsia" w:ascii="宋体" w:hAnsi="宋体" w:eastAsia="宋体" w:cs="宋体"/>
      <w:b/>
      <w:color w:val="000000"/>
      <w:sz w:val="18"/>
      <w:szCs w:val="18"/>
      <w:u w:val="none"/>
    </w:rPr>
  </w:style>
  <w:style w:type="character" w:styleId="1062" w:customStyle="1">
    <w:name w:val="段落 Char1"/>
    <w:link w:val="1063"/>
    <w:uiPriority w:val="0"/>
    <w:qFormat/>
    <w:rPr>
      <w:rFonts w:eastAsia="仿宋_GB2312"/>
      <w:sz w:val="32"/>
      <w:szCs w:val="32"/>
      <w:lang w:val="en-US" w:eastAsia="zh-CN" w:bidi="ar-SA"/>
    </w:rPr>
  </w:style>
  <w:style w:type="paragraph" w:styleId="1063" w:customStyle="1">
    <w:name w:val="段落"/>
    <w:link w:val="1062"/>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064" w:customStyle="1">
    <w:name w:val="font131"/>
    <w:uiPriority w:val="0"/>
    <w:qFormat/>
    <w:rPr>
      <w:rFonts w:ascii="Wingdings 2" w:hAnsi="Wingdings 2" w:eastAsia="Wingdings 2" w:cs="Wingdings 2"/>
      <w:color w:val="000000"/>
      <w:sz w:val="20"/>
      <w:szCs w:val="20"/>
      <w:u w:val="none"/>
    </w:rPr>
  </w:style>
  <w:style w:type="character" w:styleId="1065" w:customStyle="1">
    <w:name w:val="一级缩进 Char"/>
    <w:link w:val="1066"/>
    <w:uiPriority w:val="0"/>
    <w:qFormat/>
    <w:rPr>
      <w:rFonts w:eastAsia="仿宋_GB2312"/>
      <w:sz w:val="32"/>
      <w:szCs w:val="32"/>
      <w:lang w:val="en-US" w:eastAsia="zh-CN" w:bidi="ar-SA"/>
    </w:rPr>
  </w:style>
  <w:style w:type="paragraph" w:styleId="1066" w:customStyle="1">
    <w:name w:val="一级缩进"/>
    <w:link w:val="1065"/>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067" w:customStyle="1">
    <w:name w:val="正文文本 3 Char1"/>
    <w:uiPriority w:val="99"/>
    <w:semiHidden/>
    <w:qFormat/>
    <w:rPr>
      <w:sz w:val="16"/>
      <w:szCs w:val="16"/>
    </w:rPr>
  </w:style>
  <w:style w:type="character" w:styleId="1068" w:customStyle="1">
    <w:name w:val="apple-style-span"/>
    <w:uiPriority w:val="0"/>
    <w:qFormat/>
  </w:style>
  <w:style w:type="character" w:styleId="1069" w:customStyle="1">
    <w:name w:val="批注框文本 Char1"/>
    <w:uiPriority w:val="99"/>
    <w:semiHidden/>
    <w:qFormat/>
    <w:rPr>
      <w:rFonts w:ascii="Times New Roman" w:hAnsi="Times New Roman"/>
      <w:sz w:val="18"/>
      <w:szCs w:val="18"/>
    </w:rPr>
  </w:style>
  <w:style w:type="character" w:styleId="1070" w:customStyle="1">
    <w:name w:val="font221"/>
    <w:uiPriority w:val="0"/>
    <w:qFormat/>
    <w:rPr>
      <w:rFonts w:hint="eastAsia" w:ascii="宋体" w:hAnsi="宋体" w:eastAsia="宋体" w:cs="宋体"/>
      <w:b/>
      <w:color w:val="000000"/>
      <w:sz w:val="20"/>
      <w:szCs w:val="20"/>
      <w:u w:val="none"/>
    </w:rPr>
  </w:style>
  <w:style w:type="character" w:styleId="1071" w:customStyle="1">
    <w:name w:val="font61"/>
    <w:uiPriority w:val="0"/>
    <w:qFormat/>
    <w:rPr>
      <w:rFonts w:hint="eastAsia" w:ascii="宋体" w:hAnsi="宋体" w:eastAsia="宋体" w:cs="宋体"/>
      <w:color w:val="000000"/>
      <w:sz w:val="20"/>
      <w:szCs w:val="20"/>
      <w:u w:val="none"/>
    </w:rPr>
  </w:style>
  <w:style w:type="character" w:styleId="1072" w:customStyle="1">
    <w:name w:val="top_title1"/>
    <w:uiPriority w:val="0"/>
    <w:qFormat/>
    <w:rPr>
      <w:b/>
      <w:bCs/>
      <w:color w:val="333333"/>
      <w:sz w:val="24"/>
      <w:szCs w:val="24"/>
    </w:rPr>
  </w:style>
  <w:style w:type="character" w:styleId="1073" w:customStyle="1">
    <w:name w:val="font81"/>
    <w:uiPriority w:val="0"/>
    <w:qFormat/>
    <w:rPr>
      <w:rFonts w:ascii="Symbol" w:hAnsi="Symbol" w:cs="Symbol"/>
      <w:color w:val="000000"/>
      <w:sz w:val="20"/>
      <w:szCs w:val="20"/>
      <w:u w:val="none"/>
    </w:rPr>
  </w:style>
  <w:style w:type="character" w:styleId="1074" w:customStyle="1">
    <w:name w:val="font141"/>
    <w:uiPriority w:val="0"/>
    <w:qFormat/>
    <w:rPr>
      <w:rFonts w:hint="eastAsia" w:ascii="宋体" w:hAnsi="宋体" w:eastAsia="宋体" w:cs="宋体"/>
      <w:color w:val="ff0000"/>
      <w:sz w:val="20"/>
      <w:szCs w:val="20"/>
      <w:u w:val="none"/>
      <w:vertAlign w:val="superscript"/>
    </w:rPr>
  </w:style>
  <w:style w:type="character" w:styleId="1075" w:customStyle="1">
    <w:name w:val="正文文本缩进 Char1"/>
    <w:uiPriority w:val="99"/>
    <w:semiHidden/>
    <w:qFormat/>
  </w:style>
  <w:style w:type="character" w:styleId="1076" w:customStyle="1">
    <w:name w:val="正文缩进 Char1"/>
    <w:uiPriority w:val="0"/>
    <w:qFormat/>
    <w:rPr>
      <w:rFonts w:ascii="Times New Roman" w:hAnsi="Times New Roman" w:eastAsia="宋体" w:cs="Times New Roman"/>
      <w:szCs w:val="20"/>
    </w:rPr>
  </w:style>
  <w:style w:type="character" w:styleId="1077" w:customStyle="1">
    <w:name w:val="font11"/>
    <w:uiPriority w:val="0"/>
    <w:qFormat/>
    <w:rPr>
      <w:rFonts w:hint="eastAsia" w:ascii="宋体" w:hAnsi="宋体" w:eastAsia="宋体" w:cs="宋体"/>
      <w:color w:val="000000"/>
      <w:sz w:val="20"/>
      <w:szCs w:val="20"/>
      <w:u w:val="none"/>
    </w:rPr>
  </w:style>
  <w:style w:type="character" w:styleId="1078" w:customStyle="1">
    <w:name w:val="表格样式居中 Char"/>
    <w:link w:val="1079"/>
    <w:uiPriority w:val="0"/>
    <w:qFormat/>
    <w:rPr>
      <w:rFonts w:ascii="宋体" w:hAnsi="宋体"/>
      <w:bCs/>
      <w:sz w:val="21"/>
      <w:szCs w:val="21"/>
      <w:lang w:val="zh-CN" w:eastAsia="zh-CN" w:bidi="ar-SA"/>
    </w:rPr>
  </w:style>
  <w:style w:type="paragraph" w:styleId="1079" w:customStyle="1">
    <w:name w:val="表格样式居中"/>
    <w:link w:val="1078"/>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080" w:customStyle="1">
    <w:name w:val="正文文本缩进 2 Char1"/>
    <w:uiPriority w:val="99"/>
    <w:semiHidden/>
    <w:qFormat/>
  </w:style>
  <w:style w:type="character" w:styleId="1081" w:customStyle="1">
    <w:name w:val="font161"/>
    <w:uiPriority w:val="0"/>
    <w:qFormat/>
    <w:rPr>
      <w:rFonts w:hint="eastAsia" w:ascii="宋体" w:hAnsi="宋体" w:eastAsia="宋体" w:cs="宋体"/>
      <w:b/>
      <w:color w:val="ff0000"/>
      <w:sz w:val="20"/>
      <w:szCs w:val="20"/>
      <w:u w:val="none"/>
    </w:rPr>
  </w:style>
  <w:style w:type="character" w:styleId="1082" w:customStyle="1">
    <w:name w:val="批注主题 Char1"/>
    <w:uiPriority w:val="99"/>
    <w:semiHidden/>
    <w:qFormat/>
    <w:rPr>
      <w:rFonts w:ascii="Times New Roman" w:hAnsi="Times New Roman" w:eastAsia="宋体" w:cs="Times New Roman"/>
      <w:b/>
      <w:bCs/>
      <w:szCs w:val="24"/>
    </w:rPr>
  </w:style>
  <w:style w:type="character" w:styleId="1083" w:customStyle="1">
    <w:name w:val="font51"/>
    <w:uiPriority w:val="0"/>
    <w:qFormat/>
    <w:rPr>
      <w:rFonts w:hint="eastAsia" w:ascii="宋体" w:hAnsi="宋体" w:eastAsia="宋体" w:cs="宋体"/>
      <w:b/>
      <w:color w:val="000000"/>
      <w:sz w:val="20"/>
      <w:szCs w:val="20"/>
      <w:u w:val="none"/>
    </w:rPr>
  </w:style>
  <w:style w:type="character" w:styleId="1084" w:customStyle="1">
    <w:name w:val="font01"/>
    <w:uiPriority w:val="0"/>
    <w:qFormat/>
    <w:rPr>
      <w:rFonts w:hint="eastAsia" w:ascii="宋体" w:hAnsi="宋体" w:eastAsia="宋体"/>
      <w:color w:val="000000"/>
      <w:sz w:val="24"/>
      <w:szCs w:val="24"/>
      <w:u w:val="none"/>
    </w:rPr>
  </w:style>
  <w:style w:type="character" w:styleId="1085" w:customStyle="1">
    <w:name w:val="批注文字 Char"/>
    <w:uiPriority w:val="99"/>
    <w:qFormat/>
    <w:rPr>
      <w:sz w:val="21"/>
      <w:szCs w:val="22"/>
    </w:rPr>
  </w:style>
  <w:style w:type="character" w:styleId="1086" w:customStyle="1">
    <w:name w:val="unnamed11"/>
    <w:uiPriority w:val="99"/>
    <w:qFormat/>
    <w:rPr>
      <w:rFonts w:hint="eastAsia" w:ascii="宋体" w:hAnsi="宋体" w:eastAsia="宋体"/>
      <w:sz w:val="21"/>
      <w:szCs w:val="21"/>
    </w:rPr>
  </w:style>
  <w:style w:type="character" w:styleId="1087" w:customStyle="1">
    <w:name w:val="font71"/>
    <w:uiPriority w:val="0"/>
    <w:qFormat/>
    <w:rPr>
      <w:rFonts w:hint="eastAsia" w:ascii="宋体" w:hAnsi="宋体" w:eastAsia="宋体" w:cs="宋体"/>
      <w:color w:val="000000"/>
      <w:sz w:val="20"/>
      <w:szCs w:val="20"/>
      <w:u w:val="none"/>
    </w:rPr>
  </w:style>
  <w:style w:type="character" w:styleId="1088" w:customStyle="1">
    <w:name w:val=" Char Char8"/>
    <w:uiPriority w:val="0"/>
    <w:qFormat/>
    <w:rPr>
      <w:rFonts w:ascii="Calibri" w:hAnsi="Calibri" w:eastAsia="宋体" w:cs="Times New Roman"/>
      <w:b/>
      <w:bCs/>
      <w:sz w:val="28"/>
      <w:szCs w:val="28"/>
    </w:rPr>
  </w:style>
  <w:style w:type="character" w:styleId="1089" w:customStyle="1">
    <w:name w:val=" Char Char11"/>
    <w:uiPriority w:val="0"/>
    <w:qFormat/>
    <w:rPr>
      <w:rFonts w:ascii="Arial" w:hAnsi="Arial" w:eastAsia="宋体" w:cs="Times New Roman"/>
      <w:b/>
      <w:bCs/>
      <w:sz w:val="28"/>
      <w:szCs w:val="36"/>
    </w:rPr>
  </w:style>
  <w:style w:type="character" w:styleId="1090" w:customStyle="1">
    <w:name w:val=" Char Char12"/>
    <w:uiPriority w:val="0"/>
    <w:qFormat/>
    <w:rPr>
      <w:b/>
      <w:bCs/>
      <w:sz w:val="44"/>
      <w:szCs w:val="44"/>
    </w:rPr>
  </w:style>
  <w:style w:type="character" w:styleId="1091" w:customStyle="1">
    <w:name w:val="font111"/>
    <w:uiPriority w:val="0"/>
    <w:qFormat/>
    <w:rPr>
      <w:rFonts w:hint="eastAsia" w:ascii="宋体" w:hAnsi="宋体" w:eastAsia="宋体" w:cs="宋体"/>
      <w:color w:val="ff0000"/>
      <w:sz w:val="18"/>
      <w:szCs w:val="18"/>
      <w:u w:val="none"/>
    </w:rPr>
  </w:style>
  <w:style w:type="character" w:styleId="1092" w:customStyle="1">
    <w:name w:val="font21"/>
    <w:basedOn w:val="806"/>
    <w:uiPriority w:val="0"/>
    <w:qFormat/>
    <w:rPr>
      <w:rFonts w:hint="eastAsia" w:ascii="仿宋_GB2312" w:hAnsi="Times New Roman" w:eastAsia="仿宋_GB2312" w:cs="仿宋_GB2312"/>
      <w:color w:val="000000"/>
      <w:sz w:val="22"/>
      <w:szCs w:val="22"/>
      <w:u w:val="none"/>
    </w:rPr>
  </w:style>
  <w:style w:type="character" w:styleId="1093" w:customStyle="1">
    <w:name w:val="无间隔 Char"/>
    <w:link w:val="1094"/>
    <w:uiPriority w:val="0"/>
    <w:qFormat/>
    <w:rPr>
      <w:sz w:val="21"/>
      <w:szCs w:val="22"/>
      <w:lang w:val="en-US" w:eastAsia="zh-CN" w:bidi="ar-SA"/>
    </w:rPr>
  </w:style>
  <w:style w:type="paragraph" w:styleId="1094" w:customStyle="1">
    <w:name w:val="msonospacing"/>
    <w:link w:val="1093"/>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95" w:customStyle="1">
    <w:name w:val="font211"/>
    <w:uiPriority w:val="0"/>
    <w:qFormat/>
    <w:rPr>
      <w:rFonts w:hint="eastAsia" w:ascii="宋体" w:hAnsi="宋体" w:eastAsia="宋体" w:cs="宋体"/>
      <w:color w:val="ff0000"/>
      <w:sz w:val="20"/>
      <w:szCs w:val="20"/>
      <w:u w:val="none"/>
      <w:vertAlign w:val="superscript"/>
    </w:rPr>
  </w:style>
  <w:style w:type="character" w:styleId="1096" w:customStyle="1">
    <w:name w:val="NormalCharacter"/>
    <w:uiPriority w:val="0"/>
    <w:qFormat/>
    <w:rPr>
      <w:sz w:val="21"/>
      <w:szCs w:val="22"/>
      <w:lang w:val="en-US" w:eastAsia="zh-CN" w:bidi="ar-SA"/>
    </w:rPr>
  </w:style>
  <w:style w:type="character" w:styleId="1097" w:customStyle="1">
    <w:name w:val="font171"/>
    <w:uiPriority w:val="0"/>
    <w:qFormat/>
    <w:rPr>
      <w:rFonts w:hint="eastAsia" w:ascii="宋体" w:hAnsi="宋体" w:eastAsia="宋体" w:cs="宋体"/>
      <w:color w:val="000000"/>
      <w:sz w:val="20"/>
      <w:szCs w:val="20"/>
      <w:u w:val="none"/>
    </w:rPr>
  </w:style>
  <w:style w:type="character" w:styleId="1098" w:customStyle="1">
    <w:name w:val="项目排列 Char"/>
    <w:link w:val="1099"/>
    <w:uiPriority w:val="0"/>
    <w:qFormat/>
    <w:rPr>
      <w:sz w:val="24"/>
      <w:szCs w:val="24"/>
    </w:rPr>
  </w:style>
  <w:style w:type="paragraph" w:styleId="1099" w:customStyle="1">
    <w:name w:val="项目排列"/>
    <w:basedOn w:val="796"/>
    <w:link w:val="1098"/>
    <w:uiPriority w:val="0"/>
    <w:qFormat/>
    <w:pPr>
      <w:numPr>
        <w:ilvl w:val="0"/>
        <w:numId w:val="4"/>
      </w:numPr>
      <w:spacing w:before="156" w:after="156" w:line="300" w:lineRule="auto"/>
      <w:tabs>
        <w:tab w:val="left" w:pos="900" w:leader="none"/>
      </w:tabs>
    </w:pPr>
    <w:rPr>
      <w:sz w:val="24"/>
      <w:szCs w:val="24"/>
    </w:rPr>
  </w:style>
  <w:style w:type="character" w:styleId="1100" w:customStyle="1">
    <w:name w:val="hover4"/>
    <w:uiPriority w:val="0"/>
    <w:qFormat/>
    <w:rPr>
      <w:color w:val="999999"/>
    </w:rPr>
  </w:style>
  <w:style w:type="character" w:styleId="1101" w:customStyle="1">
    <w:name w:val="font91"/>
    <w:uiPriority w:val="0"/>
    <w:qFormat/>
    <w:rPr>
      <w:rFonts w:hint="eastAsia" w:ascii="宋体" w:hAnsi="宋体" w:eastAsia="宋体" w:cs="宋体"/>
      <w:color w:val="000000"/>
      <w:sz w:val="16"/>
      <w:szCs w:val="16"/>
      <w:u w:val="none"/>
    </w:rPr>
  </w:style>
  <w:style w:type="paragraph" w:styleId="1102" w:customStyle="1">
    <w:name w:val=" Char"/>
    <w:basedOn w:val="796"/>
    <w:uiPriority w:val="0"/>
    <w:qFormat/>
    <w:pPr>
      <w:ind w:left="1350" w:hanging="1350"/>
      <w:tabs>
        <w:tab w:val="left" w:pos="1350" w:leader="none"/>
      </w:tabs>
    </w:pPr>
    <w:rPr>
      <w:rFonts w:ascii="Times New Roman" w:hAnsi="Times New Roman"/>
      <w:sz w:val="24"/>
      <w:szCs w:val="24"/>
    </w:rPr>
  </w:style>
  <w:style w:type="paragraph" w:styleId="1103" w:customStyle="1">
    <w:name w:val="正文 1.1.1"/>
    <w:basedOn w:val="796"/>
    <w:next w:val="796"/>
    <w:uiPriority w:val="0"/>
    <w:qFormat/>
    <w:pPr>
      <w:numPr>
        <w:ilvl w:val="2"/>
        <w:numId w:val="5"/>
      </w:numPr>
      <w:outlineLvl w:val="2"/>
    </w:pPr>
    <w:rPr>
      <w:rFonts w:hAnsi="宋体" w:eastAsia="宋体"/>
      <w:color w:val="ff0000"/>
    </w:rPr>
  </w:style>
  <w:style w:type="paragraph" w:styleId="1104" w:customStyle="1">
    <w:name w:val="Default Paragraph Font Para Char"/>
    <w:basedOn w:val="796"/>
    <w:uiPriority w:val="0"/>
    <w:qFormat/>
    <w:pPr>
      <w:jc w:val="left"/>
      <w:spacing w:before="156" w:after="160" w:line="240" w:lineRule="exact"/>
      <w:widowControl/>
    </w:pPr>
    <w:rPr>
      <w:rFonts w:ascii="Verdana" w:hAnsi="Verdana" w:eastAsia="宋体" w:cs="Times New Roman"/>
      <w:sz w:val="20"/>
      <w:szCs w:val="20"/>
      <w:lang w:eastAsia="en-US"/>
    </w:rPr>
  </w:style>
  <w:style w:type="paragraph" w:styleId="1105" w:customStyle="1">
    <w:name w:val="unnamed1"/>
    <w:basedOn w:val="796"/>
    <w:uiPriority w:val="0"/>
    <w:qFormat/>
    <w:pPr>
      <w:jc w:val="left"/>
      <w:spacing w:before="100" w:beforeAutospacing="1" w:after="100" w:afterAutospacing="1" w:line="288" w:lineRule="auto"/>
      <w:widowControl/>
    </w:pPr>
    <w:rPr>
      <w:rFonts w:hint="eastAsia" w:ascii="宋体" w:hAnsi="宋体"/>
      <w:szCs w:val="21"/>
    </w:rPr>
  </w:style>
  <w:style w:type="paragraph" w:styleId="1106" w:customStyle="1">
    <w:name w:val="Normal Indent"/>
    <w:basedOn w:val="796"/>
    <w:uiPriority w:val="0"/>
    <w:qFormat/>
    <w:pPr>
      <w:ind w:firstLine="420"/>
      <w:jc w:val="left"/>
      <w:spacing w:line="360" w:lineRule="auto"/>
      <w:widowControl/>
    </w:pPr>
    <w:rPr>
      <w:rFonts w:ascii="宋体" w:hAnsi="Times New Roman" w:eastAsia="宋体" w:cs="Times New Roman"/>
      <w:sz w:val="20"/>
      <w:szCs w:val="20"/>
    </w:rPr>
  </w:style>
  <w:style w:type="paragraph" w:styleId="1107" w:customStyle="1">
    <w:name w:val="Char1"/>
    <w:basedOn w:val="796"/>
    <w:uiPriority w:val="0"/>
    <w:qFormat/>
    <w:rPr>
      <w:rFonts w:ascii="仿宋_GB2312" w:hAnsi="Times New Roman" w:eastAsia="仿宋_GB2312"/>
      <w:b/>
      <w:sz w:val="32"/>
      <w:szCs w:val="32"/>
    </w:rPr>
  </w:style>
  <w:style w:type="paragraph" w:styleId="1108" w:customStyle="1">
    <w:name w:val="文档正文"/>
    <w:basedOn w:val="796"/>
    <w:uiPriority w:val="0"/>
    <w:qFormat/>
    <w:pPr>
      <w:ind w:firstLine="567"/>
      <w:spacing w:line="480" w:lineRule="atLeast"/>
    </w:pPr>
    <w:rPr>
      <w:rFonts w:ascii="仿宋_GB2312" w:hAnsi="Times New Roman" w:eastAsia="仿宋_GB2312"/>
      <w:sz w:val="28"/>
      <w:szCs w:val="24"/>
    </w:rPr>
  </w:style>
  <w:style w:type="paragraph" w:styleId="1109" w:customStyle="1">
    <w:name w:val="二级目录"/>
    <w:next w:val="796"/>
    <w:uiPriority w:val="0"/>
    <w:qFormat/>
    <w:pPr>
      <w:numPr>
        <w:ilvl w:val="0"/>
        <w:numId w:val="6"/>
      </w:numPr>
      <w:outlineLvl w:val="1"/>
    </w:pPr>
    <w:rPr>
      <w:rFonts w:hint="default" w:ascii="Times New Roman" w:hAnsi="Times New Roman" w:eastAsia="宋体" w:cs="Times New Roman"/>
      <w:b/>
      <w:sz w:val="30"/>
      <w:szCs w:val="28"/>
      <w:lang w:val="en-US" w:eastAsia="zh-CN" w:bidi="ar-SA"/>
    </w:rPr>
  </w:style>
  <w:style w:type="paragraph" w:styleId="1110" w:customStyle="1">
    <w:name w:val="List Paragraph1"/>
    <w:basedOn w:val="796"/>
    <w:uiPriority w:val="0"/>
    <w:qFormat/>
    <w:pPr>
      <w:ind w:firstLine="420"/>
    </w:pPr>
    <w:rPr>
      <w:rFonts w:ascii="Times New Roman" w:hAnsi="Times New Roman" w:eastAsia="宋体" w:cs="Times New Roman"/>
      <w:szCs w:val="20"/>
    </w:rPr>
  </w:style>
  <w:style w:type="paragraph" w:styleId="1111" w:customStyle="1">
    <w:name w:val="_Style 2"/>
    <w:basedOn w:val="796"/>
    <w:uiPriority w:val="34"/>
    <w:qFormat/>
    <w:pPr>
      <w:ind w:firstLine="420"/>
    </w:pPr>
    <w:rPr>
      <w:rFonts w:ascii="Times New Roman" w:hAnsi="Times New Roman"/>
      <w:szCs w:val="24"/>
    </w:rPr>
  </w:style>
  <w:style w:type="paragraph" w:styleId="1112"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u w:val="none"/>
      <w:lang w:val="en-US" w:eastAsia="zh-CN" w:bidi="ar-SA"/>
    </w:rPr>
  </w:style>
  <w:style w:type="paragraph" w:styleId="1113" w:customStyle="1">
    <w:name w:val="文档标题"/>
    <w:basedOn w:val="796"/>
    <w:uiPriority w:val="0"/>
    <w:qFormat/>
    <w:pPr>
      <w:jc w:val="center"/>
      <w:spacing w:before="312" w:after="312" w:line="300" w:lineRule="auto"/>
    </w:pPr>
    <w:rPr>
      <w:rFonts w:ascii="Arial" w:hAnsi="Arial" w:eastAsia="黑体" w:cs="Arial"/>
      <w:b/>
      <w:sz w:val="48"/>
      <w:szCs w:val="32"/>
    </w:rPr>
  </w:style>
  <w:style w:type="paragraph" w:styleId="1114" w:customStyle="1">
    <w:name w:val=" Char1 Char Char Char Char Char Char"/>
    <w:basedOn w:val="796"/>
    <w:uiPriority w:val="0"/>
    <w:qFormat/>
    <w:rPr>
      <w:rFonts w:ascii="Times New Roman" w:hAnsi="Times New Roman"/>
      <w:szCs w:val="24"/>
    </w:rPr>
  </w:style>
  <w:style w:type="paragraph" w:styleId="1115" w:customStyle="1">
    <w:name w:val=" Char Char Char Char Char Char Char"/>
    <w:basedOn w:val="811"/>
    <w:uiPriority w:val="0"/>
    <w:qFormat/>
    <w:pPr>
      <w:shd w:val="clear" w:color="auto" w:fill="000080"/>
    </w:pPr>
    <w:rPr>
      <w:rFonts w:ascii="Times New Roman"/>
      <w:sz w:val="21"/>
      <w:szCs w:val="20"/>
    </w:rPr>
  </w:style>
  <w:style w:type="paragraph" w:styleId="1116" w:customStyle="1">
    <w:name w:val="No Spacing"/>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7" w:customStyle="1">
    <w:name w:val="List Paragraph"/>
    <w:basedOn w:val="796"/>
    <w:uiPriority w:val="34"/>
    <w:qFormat/>
    <w:pPr>
      <w:ind w:left="720"/>
    </w:pPr>
    <w:rPr>
      <w:rFonts w:ascii="Times New Roman" w:hAnsi="Times New Roman" w:eastAsia="宋体" w:cs="Times New Roman"/>
      <w:szCs w:val="21"/>
    </w:rPr>
  </w:style>
  <w:style w:type="paragraph" w:styleId="1118" w:customStyle="1">
    <w:name w:val="普通正文"/>
    <w:basedOn w:val="858"/>
    <w:uiPriority w:val="0"/>
    <w:qFormat/>
    <w:pPr>
      <w:ind w:firstLine="480"/>
      <w:jc w:val="left"/>
      <w:spacing w:before="120" w:after="120" w:line="360" w:lineRule="auto"/>
    </w:pPr>
    <w:rPr>
      <w:rFonts w:ascii="Arial" w:hAnsi="Arial" w:eastAsia="宋体" w:cs="Times New Roman"/>
      <w:sz w:val="24"/>
      <w:szCs w:val="24"/>
    </w:rPr>
  </w:style>
  <w:style w:type="paragraph" w:styleId="1119" w:customStyle="1">
    <w:name w:val="正文 1.1"/>
    <w:basedOn w:val="796"/>
    <w:next w:val="1103"/>
    <w:uiPriority w:val="0"/>
    <w:qFormat/>
    <w:pPr>
      <w:numPr>
        <w:ilvl w:val="1"/>
        <w:numId w:val="5"/>
      </w:numPr>
      <w:ind w:firstLine="550"/>
      <w:outlineLvl w:val="1"/>
    </w:pPr>
    <w:rPr>
      <w:rFonts w:ascii="仿宋" w:hAnsi="仿宋"/>
      <w:b/>
    </w:rPr>
  </w:style>
  <w:style w:type="paragraph" w:styleId="1120" w:customStyle="1">
    <w:name w:val="Table Paragraph"/>
    <w:basedOn w:val="796"/>
    <w:uiPriority w:val="1"/>
    <w:qFormat/>
    <w:pPr>
      <w:spacing w:after="0"/>
      <w:widowControl w:val="off"/>
    </w:pPr>
    <w:rPr>
      <w:rFonts w:ascii="Calibri" w:hAnsi="Calibri" w:eastAsia="宋体"/>
      <w:lang w:eastAsia="en-US"/>
    </w:rPr>
  </w:style>
  <w:style w:type="paragraph" w:styleId="1121"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22"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3" w:customStyle="1">
    <w:name w:val="CD 正文"/>
    <w:basedOn w:val="796"/>
    <w:uiPriority w:val="0"/>
    <w:qFormat/>
    <w:pPr>
      <w:jc w:val="left"/>
    </w:pPr>
    <w:rPr>
      <w:rFonts w:ascii="Arial" w:hAnsi="Arial" w:eastAsia="微软雅黑" w:cs="Arial"/>
      <w:szCs w:val="21"/>
    </w:rPr>
  </w:style>
  <w:style w:type="paragraph" w:styleId="1124" w:customStyle="1">
    <w:name w:val="纯文本1"/>
    <w:uiPriority w:val="0"/>
    <w:qFormat/>
    <w:pPr>
      <w:spacing w:before="100" w:after="100"/>
      <w:framePr w:wrap="around" w:vAnchor="margin" w:hAnchor="text" w:yAlign="top"/>
    </w:pPr>
    <w:rPr>
      <w:rFonts w:hint="default" w:ascii="宋体" w:hAnsi="宋体" w:eastAsia="宋体" w:cs="宋体"/>
      <w:color w:val="000000"/>
      <w:sz w:val="24"/>
      <w:szCs w:val="24"/>
      <w:u w:val="none"/>
      <w:lang w:val="en-US" w:eastAsia="zh-CN" w:bidi="ar-SA"/>
    </w:rPr>
  </w:style>
  <w:style w:type="paragraph" w:styleId="1125" w:customStyle="1">
    <w:name w:val="Char"/>
    <w:basedOn w:val="796"/>
    <w:uiPriority w:val="0"/>
    <w:qFormat/>
    <w:pPr>
      <w:ind w:firstLine="200"/>
      <w:tabs>
        <w:tab w:val="left" w:pos="360" w:leader="none"/>
      </w:tabs>
    </w:pPr>
    <w:rPr>
      <w:rFonts w:ascii="Times New Roman" w:hAnsi="Times New Roman" w:eastAsia="宋体" w:cs="Times New Roman"/>
      <w:sz w:val="28"/>
      <w:szCs w:val="30"/>
    </w:rPr>
  </w:style>
  <w:style w:type="paragraph" w:styleId="1126"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27" w:customStyle="1">
    <w:name w:val="p0"/>
    <w:basedOn w:val="796"/>
    <w:uiPriority w:val="0"/>
    <w:qFormat/>
    <w:pPr>
      <w:widowControl/>
    </w:pPr>
    <w:rPr>
      <w:rFonts w:ascii="Times New Roman" w:hAnsi="Times New Roman" w:eastAsia="宋体" w:cs="Times New Roman"/>
      <w:szCs w:val="21"/>
    </w:rPr>
  </w:style>
  <w:style w:type="paragraph" w:styleId="1128" w:customStyle="1">
    <w:name w:val="msonormal"/>
    <w:basedOn w:val="796"/>
    <w:uiPriority w:val="0"/>
    <w:qFormat/>
    <w:pPr>
      <w:jc w:val="left"/>
      <w:spacing w:before="100" w:beforeAutospacing="1" w:after="100" w:afterAutospacing="1"/>
      <w:widowControl/>
    </w:pPr>
    <w:rPr>
      <w:rFonts w:ascii="宋体" w:hAnsi="宋体" w:cs="宋体"/>
      <w:sz w:val="24"/>
      <w:szCs w:val="24"/>
    </w:rPr>
  </w:style>
  <w:style w:type="paragraph" w:styleId="1129" w:customStyle="1">
    <w:name w:val="font5"/>
    <w:basedOn w:val="796"/>
    <w:uiPriority w:val="0"/>
    <w:qFormat/>
    <w:pPr>
      <w:jc w:val="left"/>
      <w:spacing w:before="100" w:beforeAutospacing="1" w:after="100" w:afterAutospacing="1"/>
      <w:widowControl/>
    </w:pPr>
    <w:rPr>
      <w:rFonts w:ascii="宋体" w:hAnsi="宋体" w:cs="宋体"/>
      <w:sz w:val="18"/>
      <w:szCs w:val="18"/>
    </w:rPr>
  </w:style>
  <w:style w:type="paragraph" w:styleId="1130" w:customStyle="1">
    <w:name w:val="font6"/>
    <w:basedOn w:val="796"/>
    <w:uiPriority w:val="0"/>
    <w:qFormat/>
    <w:pPr>
      <w:jc w:val="left"/>
      <w:spacing w:before="100" w:beforeAutospacing="1" w:after="100" w:afterAutospacing="1"/>
      <w:widowControl/>
    </w:pPr>
    <w:rPr>
      <w:rFonts w:ascii="Calibri" w:hAnsi="Calibri" w:cs="Calibri"/>
      <w:sz w:val="18"/>
      <w:szCs w:val="18"/>
    </w:rPr>
  </w:style>
  <w:style w:type="paragraph" w:styleId="1131" w:customStyle="1">
    <w:name w:val="xl84"/>
    <w:basedOn w:val="796"/>
    <w:uiPriority w:val="0"/>
    <w:qFormat/>
    <w:pPr>
      <w:jc w:val="left"/>
      <w:spacing w:before="100" w:beforeAutospacing="1" w:after="100" w:afterAutospacing="1"/>
      <w:widowControl/>
    </w:pPr>
    <w:rPr>
      <w:rFonts w:ascii="宋体" w:hAnsi="宋体" w:cs="宋体"/>
      <w:color w:val="000000"/>
      <w:sz w:val="24"/>
      <w:szCs w:val="24"/>
    </w:rPr>
  </w:style>
  <w:style w:type="paragraph" w:styleId="1132" w:customStyle="1">
    <w:name w:val="xl85"/>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3" w:customStyle="1">
    <w:name w:val="xl86"/>
    <w:basedOn w:val="796"/>
    <w:uiPriority w:val="0"/>
    <w:qFormat/>
    <w:pPr>
      <w:jc w:val="left"/>
      <w:spacing w:before="100" w:beforeAutospacing="1" w:after="100" w:afterAutospacing="1"/>
      <w:widowControl/>
    </w:pPr>
    <w:rPr>
      <w:rFonts w:ascii="宋体" w:hAnsi="宋体" w:cs="宋体"/>
      <w:sz w:val="24"/>
      <w:szCs w:val="24"/>
    </w:rPr>
  </w:style>
  <w:style w:type="paragraph" w:styleId="1134" w:customStyle="1">
    <w:name w:val="xl87"/>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35" w:customStyle="1">
    <w:name w:val="xl88"/>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36" w:customStyle="1">
    <w:name w:val="xl89"/>
    <w:basedOn w:val="796"/>
    <w:uiPriority w:val="0"/>
    <w:qFormat/>
    <w:pPr>
      <w:jc w:val="left"/>
      <w:spacing w:before="100" w:beforeAutospacing="1" w:after="100" w:afterAutospacing="1"/>
      <w:widowControl/>
    </w:pPr>
    <w:rPr>
      <w:rFonts w:ascii="宋体" w:hAnsi="宋体" w:cs="宋体"/>
      <w:sz w:val="24"/>
      <w:szCs w:val="24"/>
    </w:rPr>
  </w:style>
  <w:style w:type="paragraph" w:styleId="1137" w:customStyle="1">
    <w:name w:val="xl90"/>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38" w:customStyle="1">
    <w:name w:val="xl91"/>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39" w:customStyle="1">
    <w:name w:val="xl92"/>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0" w:customStyle="1">
    <w:name w:val="xl93"/>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1" w:customStyle="1">
    <w:name w:val="xl94"/>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2" w:customStyle="1">
    <w:name w:val="xl95"/>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43" w:customStyle="1">
    <w:name w:val="xl96"/>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4" w:customStyle="1">
    <w:name w:val="xl97"/>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5" w:customStyle="1">
    <w:name w:val="xl98"/>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6" w:customStyle="1">
    <w:name w:val="xl99"/>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7" w:customStyle="1">
    <w:name w:val="xl100"/>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48" w:customStyle="1">
    <w:name w:val="xl101"/>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9" w:customStyle="1">
    <w:name w:val="xl102"/>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50" w:customStyle="1">
    <w:name w:val="xl103"/>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51" w:customStyle="1">
    <w:name w:val="xl104"/>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2" w:customStyle="1">
    <w:name w:val="xl105"/>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3" w:customStyle="1">
    <w:name w:val="xl106"/>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4" w:customStyle="1">
    <w:name w:val="xl107"/>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5" w:customStyle="1">
    <w:name w:val="xl108"/>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6" w:customStyle="1">
    <w:name w:val="xl109"/>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7" w:customStyle="1">
    <w:name w:val="xl110"/>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8" w:customStyle="1">
    <w:name w:val="xl111"/>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9" w:customStyle="1">
    <w:name w:val="xl112"/>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0" w:customStyle="1">
    <w:name w:val="xl113"/>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1" w:customStyle="1">
    <w:name w:val="xl115"/>
    <w:basedOn w:val="7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2" w:customStyle="1">
    <w:name w:val="xl116"/>
    <w:basedOn w:val="7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3" w:customStyle="1">
    <w:name w:val="xl117"/>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4" w:customStyle="1">
    <w:name w:val="xl118"/>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5" w:customStyle="1">
    <w:name w:val="xl119"/>
    <w:basedOn w:val="796"/>
    <w:uiPriority w:val="0"/>
    <w:qFormat/>
    <w:pPr>
      <w:jc w:val="center"/>
      <w:spacing w:before="100" w:beforeAutospacing="1" w:after="100" w:afterAutospacing="1"/>
      <w:widowControl/>
    </w:pPr>
    <w:rPr>
      <w:rFonts w:ascii="宋体" w:hAnsi="宋体" w:cs="宋体"/>
      <w:sz w:val="24"/>
      <w:szCs w:val="24"/>
    </w:rPr>
  </w:style>
  <w:style w:type="paragraph" w:styleId="1166" w:customStyle="1">
    <w:name w:val="xl120"/>
    <w:basedOn w:val="796"/>
    <w:uiPriority w:val="0"/>
    <w:qFormat/>
    <w:pPr>
      <w:jc w:val="center"/>
      <w:spacing w:before="100" w:beforeAutospacing="1" w:after="100" w:afterAutospacing="1"/>
      <w:widowControl/>
    </w:pPr>
    <w:rPr>
      <w:rFonts w:ascii="宋体" w:hAnsi="宋体" w:cs="宋体"/>
      <w:sz w:val="24"/>
      <w:szCs w:val="24"/>
    </w:rPr>
  </w:style>
  <w:style w:type="paragraph" w:styleId="1167" w:customStyle="1">
    <w:name w:val="xl121"/>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8" w:customStyle="1">
    <w:name w:val="xl122"/>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9" w:customStyle="1">
    <w:name w:val="xl123"/>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0" w:customStyle="1">
    <w:name w:val="xl124"/>
    <w:basedOn w:val="79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71" w:customStyle="1">
    <w:name w:val="xl125"/>
    <w:basedOn w:val="79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72" w:customStyle="1">
    <w:name w:val="xl126"/>
    <w:basedOn w:val="79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73" w:customStyle="1">
    <w:name w:val="xl114"/>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4" w:customStyle="1">
    <w:name w:val="xl127"/>
    <w:basedOn w:val="7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75" w:customStyle="1">
    <w:name w:val="xl128"/>
    <w:basedOn w:val="796"/>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176" w:customStyle="1">
    <w:name w:val="xl129"/>
    <w:basedOn w:val="796"/>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177" w:customStyle="1">
    <w:name w:val="xl130"/>
    <w:basedOn w:val="796"/>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178" w:customStyle="1">
    <w:name w:val="xl131"/>
    <w:basedOn w:val="7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79" w:customStyle="1">
    <w:name w:val="xl132"/>
    <w:basedOn w:val="79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80" w:customStyle="1">
    <w:name w:val="xl133"/>
    <w:basedOn w:val="7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181" w:customStyle="1">
    <w:name w:val="xl134"/>
    <w:basedOn w:val="79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82" w:customStyle="1">
    <w:name w:val="xl135"/>
    <w:basedOn w:val="79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83" w:customStyle="1">
    <w:name w:val="xl136"/>
    <w:basedOn w:val="79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84" w:customStyle="1">
    <w:name w:val="xl137"/>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5" w:customStyle="1">
    <w:name w:val="_Style 227"/>
    <w:uiPriority w:val="99"/>
    <w:semiHidden/>
    <w:qFormat/>
    <w:rPr>
      <w:rFonts w:hint="default" w:ascii="等线" w:hAnsi="等线" w:eastAsia="等线" w:cs="Times New Roman"/>
      <w:sz w:val="21"/>
      <w:szCs w:val="22"/>
      <w:lang w:val="en-US" w:eastAsia="zh-CN" w:bidi="ar-SA"/>
    </w:rPr>
  </w:style>
  <w:style w:type="paragraph" w:styleId="1186" w:customStyle="1">
    <w:name w:val="正文_0"/>
    <w:next w:val="796"/>
    <w:uiPriority w:val="3"/>
    <w:qFormat/>
    <w:pPr>
      <w:jc w:val="both"/>
      <w:widowControl w:val="off"/>
    </w:pPr>
    <w:rPr>
      <w:rFonts w:hint="default" w:ascii="Calibri" w:hAnsi="Calibri" w:eastAsia="宋体" w:cs="Times New Roman"/>
      <w:sz w:val="21"/>
      <w:lang w:val="en-US" w:eastAsia="zh-CN" w:bidi="ar-SA"/>
    </w:rPr>
  </w:style>
  <w:style w:type="paragraph" w:styleId="1187" w:customStyle="1">
    <w:name w:val="Char Char Char Char Char Char Char1 Char"/>
    <w:basedOn w:val="796"/>
    <w:uiPriority w:val="0"/>
    <w:qFormat/>
    <w:rPr>
      <w:rFonts w:ascii="Tahoma" w:hAnsi="Tahoma"/>
      <w:sz w:val="24"/>
      <w:szCs w:val="24"/>
    </w:rPr>
  </w:style>
  <w:style w:type="paragraph" w:styleId="1188" w:customStyle="1">
    <w:name w:val="toc 1"/>
    <w:basedOn w:val="796"/>
    <w:next w:val="796"/>
    <w:uiPriority w:val="0"/>
    <w:qFormat/>
    <w:pPr>
      <w:jc w:val="both"/>
    </w:pPr>
  </w:style>
  <w:style w:type="paragraph" w:styleId="1189" w:customStyle="1">
    <w:name w:val="Heading 7"/>
    <w:basedOn w:val="796"/>
    <w:next w:val="796"/>
    <w:link w:val="1190"/>
    <w:uiPriority w:val="9"/>
    <w:unhideWhenUsed/>
    <w:qFormat/>
    <w:pPr>
      <w:keepLines/>
      <w:keepNext/>
      <w:spacing w:before="320" w:after="200"/>
      <w:outlineLvl w:val="6"/>
    </w:pPr>
    <w:rPr>
      <w:rFonts w:ascii="Arial" w:hAnsi="Arial" w:eastAsia="Arial"/>
      <w:b/>
      <w:bCs/>
      <w:i/>
      <w:iCs/>
      <w:sz w:val="22"/>
    </w:rPr>
  </w:style>
  <w:style w:type="character" w:styleId="1190" w:customStyle="1">
    <w:name w:val="Heading 7 Char"/>
    <w:link w:val="1189"/>
    <w:uiPriority w:val="9"/>
    <w:qFormat/>
    <w:rPr>
      <w:rFonts w:ascii="Arial" w:hAnsi="Arial" w:eastAsia="Arial" w:cs="Arial"/>
      <w:b/>
      <w:bCs/>
      <w:i/>
      <w:iCs/>
      <w:sz w:val="22"/>
      <w:szCs w:val="22"/>
    </w:rPr>
  </w:style>
  <w:style w:type="table" w:styleId="1191" w:customStyle="1">
    <w:name w:val="Table Normal"/>
    <w:uiPriority w:val="0"/>
    <w:semiHidden/>
    <w:unhideWhenUsed/>
    <w:qFormat/>
    <w:tblPr>
      <w:tblCellMar>
        <w:left w:w="0" w:type="dxa"/>
        <w:top w:w="0" w:type="dxa"/>
        <w:right w:w="0" w:type="dxa"/>
        <w:bottom w:w="0" w:type="dxa"/>
      </w:tblCellMar>
    </w:tblPr>
  </w:style>
  <w:style w:type="paragraph" w:styleId="1192" w:customStyle="1">
    <w:name w:val="Table Text"/>
    <w:basedOn w:val="796"/>
    <w:uiPriority w:val="0"/>
    <w:semiHidden/>
    <w:qFormat/>
    <w:rPr>
      <w:rFonts w:ascii="宋体" w:hAnsi="宋体" w:eastAsia="宋体" w:cs="宋体"/>
      <w:sz w:val="21"/>
      <w:szCs w:val="21"/>
      <w:lang w:val="en-US" w:eastAsia="en-US" w:bidi="ar-SA"/>
    </w:rPr>
  </w:style>
  <w:style w:type="paragraph" w:styleId="1193" w:customStyle="1">
    <w:name w:val="标题 21"/>
    <w:basedOn w:val="796"/>
    <w:next w:val="1194"/>
    <w:uiPriority w:val="0"/>
    <w:qFormat/>
    <w:pPr>
      <w:keepLines/>
      <w:keepNext/>
      <w:spacing w:before="260" w:after="260" w:line="416" w:lineRule="auto"/>
      <w:outlineLvl w:val="1"/>
    </w:pPr>
    <w:rPr>
      <w:rFonts w:ascii="Cambria" w:hAnsi="Cambria"/>
      <w:b/>
      <w:bCs/>
      <w:sz w:val="32"/>
      <w:szCs w:val="32"/>
    </w:rPr>
  </w:style>
  <w:style w:type="paragraph" w:styleId="1194" w:customStyle="1">
    <w:name w:val="正文缩进1"/>
    <w:basedOn w:val="796"/>
    <w:uiPriority w:val="0"/>
    <w:qFormat/>
    <w:pPr>
      <w:ind w:firstLine="420"/>
    </w:pPr>
    <w:rPr>
      <w:rFonts w:ascii="Calibri" w:hAnsi="Calibri"/>
    </w:rPr>
  </w:style>
  <w:style w:type="paragraph" w:styleId="1195" w:customStyle="1">
    <w:name w:val="普通(网站)1"/>
    <w:basedOn w:val="796"/>
    <w:uiPriority w:val="0"/>
    <w:qFormat/>
    <w:pPr>
      <w:jc w:val="left"/>
    </w:pPr>
    <w:rPr>
      <w:rFonts w:ascii="Calibri" w:hAnsi="Calibri"/>
      <w:sz w:val="24"/>
      <w:szCs w:val="24"/>
    </w:rPr>
  </w:style>
  <w:style w:type="paragraph" w:styleId="1196" w:customStyle="1">
    <w:name w:val="正文文本缩进1"/>
    <w:basedOn w:val="796"/>
    <w:next w:val="1197"/>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197" w:customStyle="1">
    <w:name w:val="寄信人地址1"/>
    <w:basedOn w:val="796"/>
    <w:uiPriority w:val="0"/>
    <w:qFormat/>
    <w:rPr>
      <w:rFonts w:ascii="Arial" w:hAnsi="Arial"/>
    </w:rPr>
  </w:style>
  <w:style w:type="character" w:styleId="1198" w:customStyle="1">
    <w:name w:val="fontstyle01"/>
    <w:link w:val="796"/>
    <w:uiPriority w:val="0"/>
    <w:qFormat/>
    <w:rPr>
      <w:rFonts w:hint="default" w:ascii="Times New Roman" w:hAnsi="Times New Roman" w:eastAsia="宋体" w:cs="Times New Roman"/>
      <w:sz w:val="21"/>
      <w:szCs w:val="22"/>
      <w:lang w:val="en-US" w:eastAsia="zh-CN" w:bidi="ar-SA"/>
    </w:rPr>
  </w:style>
  <w:style w:type="numbering" w:styleId="1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林祖超</cp:lastModifiedBy>
  <cp:revision>10</cp:revision>
  <dcterms:created xsi:type="dcterms:W3CDTF">2023-03-02T15:44:00Z</dcterms:created>
  <dcterms:modified xsi:type="dcterms:W3CDTF">2025-11-26T09:50:59Z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7CDF21F78C53407DBC41C18EED1661D4_13</vt:lpwstr>
  </property>
  <property fmtid="{D5CDD505-2E9C-101B-9397-08002B2CF9AE}" pid="4" name="KSOTemplateDocerSaveRecord">
    <vt:lpwstr>eyJoZGlkIjoiZTVkNzQ3OWEyMTdhMmNjZTE0YWI3MmE4NDZlMmFlODAiLCJ1c2VySWQiOiI0MTk2MzY1OTUifQ==</vt:lpwstr>
  </property>
</Properties>
</file>